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b/>
          <w:bCs/>
          <w:color w:val="000000"/>
          <w:sz w:val="11"/>
          <w:lang w:eastAsia="ru-RU"/>
        </w:rPr>
        <w:t>Заключение № 3-08/23</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b/>
          <w:bCs/>
          <w:color w:val="000000"/>
          <w:sz w:val="11"/>
          <w:lang w:eastAsia="ru-RU"/>
        </w:rPr>
        <w:t>на отчет об исполнении бюджета муниципального района «Советский район» Курской области за</w:t>
      </w:r>
      <w:r w:rsidRPr="00050973">
        <w:rPr>
          <w:rFonts w:ascii="Tahoma" w:eastAsia="Times New Roman" w:hAnsi="Tahoma" w:cs="Tahoma"/>
          <w:color w:val="000000"/>
          <w:sz w:val="11"/>
          <w:szCs w:val="11"/>
          <w:lang w:eastAsia="ru-RU"/>
        </w:rPr>
        <w:t> </w:t>
      </w:r>
      <w:r w:rsidRPr="00050973">
        <w:rPr>
          <w:rFonts w:ascii="Tahoma" w:eastAsia="Times New Roman" w:hAnsi="Tahoma" w:cs="Tahoma"/>
          <w:b/>
          <w:bCs/>
          <w:color w:val="000000"/>
          <w:sz w:val="11"/>
          <w:lang w:eastAsia="ru-RU"/>
        </w:rPr>
        <w:t>6 месяцев 2023 года</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 </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 п. Кшенский                                                                             4 августа  2023 года                                                                                           </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b/>
          <w:bCs/>
          <w:color w:val="000000"/>
          <w:sz w:val="11"/>
          <w:lang w:eastAsia="ru-RU"/>
        </w:rPr>
        <w:t> </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b/>
          <w:bCs/>
          <w:color w:val="000000"/>
          <w:sz w:val="11"/>
          <w:lang w:eastAsia="ru-RU"/>
        </w:rPr>
        <w:t>1. Общие положения</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Ревизионной комиссией Советского района Курской области проведен анализ  Отчета об исполнении бюджета муниципального района «Советский район» Курской области за 6 месяцев 2023 года (далее  - Отчет об исполнении районного бюджета) в соответствии с пунктом 5 статьи 264.2 Бюджетного кодекса Российской Федерации, ст.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Уставом муниципального района «Советский район» Курской области и иными действующими законодательными и нормативно-правовыми актами.   Отчет об исполнении бюджета муниципального района «Советский район» Курской области за 6 месяцев 2023 года утвержден постановлением Администрации Советского района Курской области от 19.07.2023 № 707.</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b/>
          <w:bCs/>
          <w:color w:val="000000"/>
          <w:sz w:val="11"/>
          <w:lang w:eastAsia="ru-RU"/>
        </w:rPr>
        <w:t> </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b/>
          <w:bCs/>
          <w:color w:val="000000"/>
          <w:sz w:val="11"/>
          <w:lang w:eastAsia="ru-RU"/>
        </w:rPr>
        <w:t>2. Общая характеристика районного бюджета</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Бюджет муниципального района «Советский район»  Курской области (далее - районный бюджет) на 2023 год утвержден решением Представительного Собрания Советского района Курской области от 21.12.2022 №319 «О бюджете муниципального района «Советский район» Курской области на  2023 год и плановый период 2024 и  2025 годы» (с изменениями и дополнениями.</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Согласно Отчету об исполнении районного бюджета плановые (прогнозные) показатели по доходам районного бюджета утверждены в сумме 771378,3 тыс. рублей, общий объем расходов районного бюджета - в сумме 848167,7 тыс. рублей.</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Решением о районном бюджете прогнозируемый дефицит районного бюджета утвержден в сумме 76789,4 тыс. рублей, или 9,9% к утвержденному общему объему доходов районного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  Прогнозируемый дефицит районного бюджета не превысил ограничение, установленное пунктом 3 статьи 92.1. Бюджетного кодекса Российской Федерации. </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Согласно Отчету об исполнении районного бюджета за 6 месяцев 2023 года районный бюджет исполнен с профицитом в сумме 21999,17 тыс. рублей.</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Анализ исполнения основных характеристик районного бюджета за первый квартал 2023 года представлен в следующей таблице:</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 </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 </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 </w:t>
      </w:r>
    </w:p>
    <w:tbl>
      <w:tblPr>
        <w:tblW w:w="5502" w:type="dxa"/>
        <w:tblCellSpacing w:w="0" w:type="dxa"/>
        <w:shd w:val="clear" w:color="auto" w:fill="EEEEEE"/>
        <w:tblCellMar>
          <w:left w:w="0" w:type="dxa"/>
          <w:right w:w="0" w:type="dxa"/>
        </w:tblCellMar>
        <w:tblLook w:val="04A0"/>
      </w:tblPr>
      <w:tblGrid>
        <w:gridCol w:w="869"/>
        <w:gridCol w:w="1087"/>
        <w:gridCol w:w="735"/>
        <w:gridCol w:w="970"/>
        <w:gridCol w:w="689"/>
        <w:gridCol w:w="393"/>
        <w:gridCol w:w="759"/>
      </w:tblGrid>
      <w:tr w:rsidR="00050973" w:rsidRPr="00050973" w:rsidTr="00050973">
        <w:trPr>
          <w:tblCellSpacing w:w="0" w:type="dxa"/>
        </w:trPr>
        <w:tc>
          <w:tcPr>
            <w:tcW w:w="912"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Показатель</w:t>
            </w:r>
          </w:p>
        </w:tc>
        <w:tc>
          <w:tcPr>
            <w:tcW w:w="1476"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Утвержденные плановые показатели районного бюджета в Отчете об исполнении районного бюджета,               тыс. рублей</w:t>
            </w:r>
          </w:p>
        </w:tc>
        <w:tc>
          <w:tcPr>
            <w:tcW w:w="1248"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Исполнение районного бюджета  6 месяцев  2022 года,   тыс. рублей</w:t>
            </w:r>
          </w:p>
        </w:tc>
        <w:tc>
          <w:tcPr>
            <w:tcW w:w="3516" w:type="dxa"/>
            <w:gridSpan w:val="4"/>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Исполнение районного бюджета  за 6 месяцев 2023 года</w:t>
            </w:r>
          </w:p>
        </w:tc>
      </w:tr>
      <w:tr w:rsidR="00050973" w:rsidRPr="00050973" w:rsidTr="00050973">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50973" w:rsidRPr="00050973" w:rsidRDefault="00050973" w:rsidP="00050973">
            <w:pPr>
              <w:spacing w:after="0" w:line="240" w:lineRule="auto"/>
              <w:rPr>
                <w:rFonts w:ascii="Tahoma" w:eastAsia="Times New Roman" w:hAnsi="Tahoma" w:cs="Tahoma"/>
                <w:color w:val="000000"/>
                <w:sz w:val="11"/>
                <w:szCs w:val="11"/>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50973" w:rsidRPr="00050973" w:rsidRDefault="00050973" w:rsidP="00050973">
            <w:pPr>
              <w:spacing w:after="0" w:line="240" w:lineRule="auto"/>
              <w:rPr>
                <w:rFonts w:ascii="Tahoma" w:eastAsia="Times New Roman" w:hAnsi="Tahoma" w:cs="Tahoma"/>
                <w:color w:val="000000"/>
                <w:sz w:val="11"/>
                <w:szCs w:val="11"/>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50973" w:rsidRPr="00050973" w:rsidRDefault="00050973" w:rsidP="00050973">
            <w:pPr>
              <w:spacing w:after="0" w:line="240" w:lineRule="auto"/>
              <w:rPr>
                <w:rFonts w:ascii="Tahoma" w:eastAsia="Times New Roman" w:hAnsi="Tahoma" w:cs="Tahoma"/>
                <w:color w:val="000000"/>
                <w:sz w:val="11"/>
                <w:szCs w:val="11"/>
                <w:lang w:eastAsia="ru-RU"/>
              </w:rPr>
            </w:pPr>
          </w:p>
        </w:tc>
        <w:tc>
          <w:tcPr>
            <w:tcW w:w="1248"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Исполнено,         тыс. рублей</w:t>
            </w:r>
          </w:p>
        </w:tc>
        <w:tc>
          <w:tcPr>
            <w:tcW w:w="1584" w:type="dxa"/>
            <w:gridSpan w:val="2"/>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Темп роста (+),  снижения (-) к исполнению районного бюджета за 6 месяцев 2022  года</w:t>
            </w:r>
          </w:p>
        </w:tc>
        <w:tc>
          <w:tcPr>
            <w:tcW w:w="6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Процент исполнения,  %</w:t>
            </w:r>
          </w:p>
        </w:tc>
      </w:tr>
      <w:tr w:rsidR="00050973" w:rsidRPr="00050973" w:rsidTr="00050973">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50973" w:rsidRPr="00050973" w:rsidRDefault="00050973" w:rsidP="00050973">
            <w:pPr>
              <w:spacing w:after="0" w:line="240" w:lineRule="auto"/>
              <w:rPr>
                <w:rFonts w:ascii="Tahoma" w:eastAsia="Times New Roman" w:hAnsi="Tahoma" w:cs="Tahoma"/>
                <w:color w:val="000000"/>
                <w:sz w:val="11"/>
                <w:szCs w:val="11"/>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50973" w:rsidRPr="00050973" w:rsidRDefault="00050973" w:rsidP="00050973">
            <w:pPr>
              <w:spacing w:after="0" w:line="240" w:lineRule="auto"/>
              <w:rPr>
                <w:rFonts w:ascii="Tahoma" w:eastAsia="Times New Roman" w:hAnsi="Tahoma" w:cs="Tahoma"/>
                <w:color w:val="000000"/>
                <w:sz w:val="11"/>
                <w:szCs w:val="11"/>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50973" w:rsidRPr="00050973" w:rsidRDefault="00050973" w:rsidP="00050973">
            <w:pPr>
              <w:spacing w:after="0" w:line="240" w:lineRule="auto"/>
              <w:rPr>
                <w:rFonts w:ascii="Tahoma" w:eastAsia="Times New Roman" w:hAnsi="Tahoma" w:cs="Tahoma"/>
                <w:color w:val="000000"/>
                <w:sz w:val="11"/>
                <w:szCs w:val="11"/>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50973" w:rsidRPr="00050973" w:rsidRDefault="00050973" w:rsidP="00050973">
            <w:pPr>
              <w:spacing w:after="0" w:line="240" w:lineRule="auto"/>
              <w:rPr>
                <w:rFonts w:ascii="Tahoma" w:eastAsia="Times New Roman" w:hAnsi="Tahoma" w:cs="Tahoma"/>
                <w:color w:val="000000"/>
                <w:sz w:val="11"/>
                <w:szCs w:val="11"/>
                <w:lang w:eastAsia="ru-RU"/>
              </w:rPr>
            </w:pP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тыс. рублей</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050973" w:rsidRPr="00050973" w:rsidRDefault="00050973" w:rsidP="00050973">
            <w:pPr>
              <w:spacing w:after="0" w:line="240" w:lineRule="auto"/>
              <w:rPr>
                <w:rFonts w:ascii="Tahoma" w:eastAsia="Times New Roman" w:hAnsi="Tahoma" w:cs="Tahoma"/>
                <w:color w:val="000000"/>
                <w:sz w:val="11"/>
                <w:szCs w:val="11"/>
                <w:lang w:eastAsia="ru-RU"/>
              </w:rPr>
            </w:pPr>
          </w:p>
        </w:tc>
      </w:tr>
      <w:tr w:rsidR="00050973" w:rsidRPr="00050973" w:rsidTr="00050973">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Доходы</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771378,252</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426180,322</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330184,290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- 95996,032</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77</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42,8%</w:t>
            </w:r>
          </w:p>
        </w:tc>
      </w:tr>
      <w:tr w:rsidR="00050973" w:rsidRPr="00050973" w:rsidTr="00050973">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i/>
                <w:iCs/>
                <w:color w:val="000000"/>
                <w:sz w:val="11"/>
                <w:lang w:eastAsia="ru-RU"/>
              </w:rPr>
              <w:t>- налоговые и неналоговые доходы</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213865,235</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95367,450</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116066,723</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+ 20699,273</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121%</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54,2</w:t>
            </w:r>
          </w:p>
        </w:tc>
      </w:tr>
      <w:tr w:rsidR="00050973" w:rsidRPr="00050973" w:rsidTr="00050973">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i/>
                <w:iCs/>
                <w:color w:val="000000"/>
                <w:sz w:val="11"/>
                <w:lang w:eastAsia="ru-RU"/>
              </w:rPr>
              <w:t>- безвозмездные поступления</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557513,017</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330 812,871</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214117,567</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-116695,304</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64,7</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37,2</w:t>
            </w:r>
          </w:p>
        </w:tc>
      </w:tr>
      <w:tr w:rsidR="00050973" w:rsidRPr="00050973" w:rsidTr="00050973">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Расходы</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848167,659</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381731,2</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308185,134</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-73546,066</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80,7</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36,3</w:t>
            </w:r>
          </w:p>
        </w:tc>
      </w:tr>
      <w:tr w:rsidR="00050973" w:rsidRPr="00050973" w:rsidTr="00050973">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Дефицит (–),      профицит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- 76789,407</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+ 44 449,1</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+ 21999,156</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w:t>
            </w:r>
          </w:p>
        </w:tc>
      </w:tr>
    </w:tbl>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 </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b/>
          <w:bCs/>
          <w:color w:val="000000"/>
          <w:sz w:val="11"/>
          <w:lang w:eastAsia="ru-RU"/>
        </w:rPr>
        <w:t>3. Анализ исполнения доходной части районного бюджета</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Решением о районном бюджете плановые (прогнозные) показатели по доходам районного бюджета за первое полугодие 2023 год утверждены в сумме 771378,252 тыс. рублей. Согласно данным Отчета об исполнении районного бюджета доходы районного бюджета за 6 месяцев 2023 года исполнены в сумме 330184,290тыс. рублей, что составляет 42,8% от плановых (прогнозных) показателей на 2023 год. По сравнению с аналогичным периодом 2022 года поступление доходов в районный бюджет уменьшилось на сумму 95996,032 тыс. рублей, или на 23%</w:t>
      </w:r>
      <w:r w:rsidRPr="00050973">
        <w:rPr>
          <w:rFonts w:ascii="Tahoma" w:eastAsia="Times New Roman" w:hAnsi="Tahoma" w:cs="Tahoma"/>
          <w:b/>
          <w:bCs/>
          <w:color w:val="000000"/>
          <w:sz w:val="11"/>
          <w:lang w:eastAsia="ru-RU"/>
        </w:rPr>
        <w:t> </w:t>
      </w:r>
      <w:r w:rsidRPr="00050973">
        <w:rPr>
          <w:rFonts w:ascii="Tahoma" w:eastAsia="Times New Roman" w:hAnsi="Tahoma" w:cs="Tahoma"/>
          <w:color w:val="000000"/>
          <w:sz w:val="11"/>
          <w:szCs w:val="11"/>
          <w:lang w:eastAsia="ru-RU"/>
        </w:rPr>
        <w:t>(исполнение районного бюджета по доходам за 6 месяцев 2022 года составило 426180,322 тыс. рублей). Уменьшение доходов в основном за счет безвозмездных поступлений.</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Кроме того, по подгруппе доходов «Доходы от продажи материальных и нематериальных активов» исполнение составило 124 %. При плане на 2023 год 10628,410 тыс. рублей в бюджет за   первое полугодие 2023 год поступило 13210,625 тыс. рублей. Основной причиной высокого процента исполнения является совершение муниципальным районом незапланированных сделок по продаже земельных участков (план перевыполнен на 2582,2 тыс. руб.).</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Указанные доходы по подгруппам «Доходы от продажи материальных и нематериальных активов» и  «Доходы от использования имущества, находящегося в государственной и муниципальной собственности»,  администрируют на уровне муниципалитета, однако, дополнительные доходы по ним не учтены при планировании и корректировке муниципального бюджета на 2023 год  на общую сумму 2582,2 тыс. руб., что говорит о недостаточном уровне бюджетного планирования. Кроме того, указанная ситуация не позволила направить дополнительные средства на решение вопросов местного значения муниципального района.</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Безвозмездные поступления в районный бюджет за 6 месяцев 2023 года исполнены в сумме 214117,567 тыс. рублей. По сравнению с аналогичным периодом 2022 года уменьшение безвозмездных поступлений составило 116695,304 тыс. рублей, или 35,3%, (безвозмездные поступления в районный бюджет за 6 месяцев 2021 года исполнены в сумме 330 812,871тыс. рублей).</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b/>
          <w:bCs/>
          <w:color w:val="000000"/>
          <w:sz w:val="11"/>
          <w:lang w:eastAsia="ru-RU"/>
        </w:rPr>
        <w:t>        </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b/>
          <w:bCs/>
          <w:color w:val="000000"/>
          <w:sz w:val="11"/>
          <w:lang w:eastAsia="ru-RU"/>
        </w:rPr>
        <w:t> 4. Анализ исполнения расходной части районного бюджета</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Решением о районном бюджете плановые ассигнования по расходам районного бюджета утверждены в сумме 848167,7 тыс. рублей.</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  Согласно представленному Отчету об исполнении районного бюджета расходы районного бюджета за 6 месяцев  2023 года исполнены в сумме 308185,1 тыс. рублей, или 36% от плановых ассигнований. В сравнении с аналогичным периодом 2022 года расходы районного бюджета уменьшились на сумму 73546,1 тыс. рублей, или на 19,2% (за 6 месяцев 2022 года исполнение расходов районного бюджета составило 381 731,2тыс. руб.).</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Анализ исполнения расходов районного бюджета по разделам бюджетной классификации Российской Федерации представлен в следующей таблице:   </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 </w:t>
      </w:r>
    </w:p>
    <w:tbl>
      <w:tblPr>
        <w:tblW w:w="5769" w:type="dxa"/>
        <w:tblCellSpacing w:w="0" w:type="dxa"/>
        <w:shd w:val="clear" w:color="auto" w:fill="EEEEEE"/>
        <w:tblCellMar>
          <w:left w:w="0" w:type="dxa"/>
          <w:right w:w="0" w:type="dxa"/>
        </w:tblCellMar>
        <w:tblLook w:val="04A0"/>
      </w:tblPr>
      <w:tblGrid>
        <w:gridCol w:w="286"/>
        <w:gridCol w:w="2678"/>
        <w:gridCol w:w="446"/>
        <w:gridCol w:w="856"/>
        <w:gridCol w:w="777"/>
        <w:gridCol w:w="726"/>
      </w:tblGrid>
      <w:tr w:rsidR="00050973" w:rsidRPr="00050973" w:rsidTr="00050973">
        <w:trPr>
          <w:tblCellSpacing w:w="0" w:type="dxa"/>
        </w:trPr>
        <w:tc>
          <w:tcPr>
            <w:tcW w:w="4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rPr>
                <w:rFonts w:ascii="Tahoma" w:eastAsia="Times New Roman" w:hAnsi="Tahoma" w:cs="Tahoma"/>
                <w:color w:val="000000"/>
                <w:sz w:val="11"/>
                <w:szCs w:val="11"/>
                <w:lang w:eastAsia="ru-RU"/>
              </w:rPr>
            </w:pP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Наименование показателя</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Раздел</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Утвержденные плановые ассигнования  на 2023 год,    тыс. рублей</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Кассовое исполнение расходов  районного бюджета за 6 месяцев  2023 года, тыс. рублей</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Процент исполнения, %</w:t>
            </w:r>
          </w:p>
        </w:tc>
      </w:tr>
      <w:tr w:rsidR="00050973" w:rsidRPr="00050973" w:rsidTr="00050973">
        <w:trPr>
          <w:tblCellSpacing w:w="0" w:type="dxa"/>
        </w:trPr>
        <w:tc>
          <w:tcPr>
            <w:tcW w:w="4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2</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3</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4</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5</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6</w:t>
            </w:r>
          </w:p>
        </w:tc>
      </w:tr>
      <w:tr w:rsidR="00050973" w:rsidRPr="00050973" w:rsidTr="00050973">
        <w:trPr>
          <w:tblCellSpacing w:w="0" w:type="dxa"/>
        </w:trPr>
        <w:tc>
          <w:tcPr>
            <w:tcW w:w="4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1.</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Общегосударственные вопросы</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01</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77 413,7</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30695,1</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39,6</w:t>
            </w:r>
          </w:p>
        </w:tc>
      </w:tr>
      <w:tr w:rsidR="00050973" w:rsidRPr="00050973" w:rsidTr="00050973">
        <w:trPr>
          <w:tblCellSpacing w:w="0" w:type="dxa"/>
        </w:trPr>
        <w:tc>
          <w:tcPr>
            <w:tcW w:w="4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2.</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Национальная безопасность и правоохранительная деятельность</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03</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4 661.2</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1432,9</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30,7</w:t>
            </w:r>
          </w:p>
        </w:tc>
      </w:tr>
      <w:tr w:rsidR="00050973" w:rsidRPr="00050973" w:rsidTr="00050973">
        <w:trPr>
          <w:tblCellSpacing w:w="0" w:type="dxa"/>
        </w:trPr>
        <w:tc>
          <w:tcPr>
            <w:tcW w:w="4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3.</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Национальная экономика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04</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222 129,3,8</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9 957,0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4,5</w:t>
            </w:r>
          </w:p>
        </w:tc>
      </w:tr>
      <w:tr w:rsidR="00050973" w:rsidRPr="00050973" w:rsidTr="00050973">
        <w:trPr>
          <w:tblCellSpacing w:w="0" w:type="dxa"/>
        </w:trPr>
        <w:tc>
          <w:tcPr>
            <w:tcW w:w="4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4.</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Жилищно-коммунальное хозяйство</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05</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25 387,2</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4 613,7</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18,1</w:t>
            </w:r>
          </w:p>
        </w:tc>
      </w:tr>
      <w:tr w:rsidR="00050973" w:rsidRPr="00050973" w:rsidTr="00050973">
        <w:trPr>
          <w:tblCellSpacing w:w="0" w:type="dxa"/>
        </w:trPr>
        <w:tc>
          <w:tcPr>
            <w:tcW w:w="4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5.</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Охрана окружающей среды</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06</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0,000</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0,000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0,0</w:t>
            </w:r>
          </w:p>
        </w:tc>
      </w:tr>
      <w:tr w:rsidR="00050973" w:rsidRPr="00050973" w:rsidTr="00050973">
        <w:trPr>
          <w:tblCellSpacing w:w="0" w:type="dxa"/>
        </w:trPr>
        <w:tc>
          <w:tcPr>
            <w:tcW w:w="4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6.</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Образование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07</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374 095,6</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188 778,2</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50,4</w:t>
            </w:r>
          </w:p>
        </w:tc>
      </w:tr>
      <w:tr w:rsidR="00050973" w:rsidRPr="00050973" w:rsidTr="00050973">
        <w:trPr>
          <w:tblCellSpacing w:w="0" w:type="dxa"/>
        </w:trPr>
        <w:tc>
          <w:tcPr>
            <w:tcW w:w="4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7.</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Культура, кинематография</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08</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77 251,4</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34 942,8</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45,2</w:t>
            </w:r>
          </w:p>
        </w:tc>
      </w:tr>
      <w:tr w:rsidR="00050973" w:rsidRPr="00050973" w:rsidTr="00050973">
        <w:trPr>
          <w:tblCellSpacing w:w="0" w:type="dxa"/>
        </w:trPr>
        <w:tc>
          <w:tcPr>
            <w:tcW w:w="4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8.</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Социальная политика</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10</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55 786,3</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31 508,6</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56,6</w:t>
            </w:r>
          </w:p>
        </w:tc>
      </w:tr>
      <w:tr w:rsidR="00050973" w:rsidRPr="00050973" w:rsidTr="00050973">
        <w:trPr>
          <w:tblCellSpacing w:w="0" w:type="dxa"/>
        </w:trPr>
        <w:tc>
          <w:tcPr>
            <w:tcW w:w="4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9.</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Физическая культура и спорт</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11</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640,0</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337,7</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52,6</w:t>
            </w:r>
          </w:p>
        </w:tc>
      </w:tr>
      <w:tr w:rsidR="00050973" w:rsidRPr="00050973" w:rsidTr="00050973">
        <w:trPr>
          <w:tblCellSpacing w:w="0" w:type="dxa"/>
        </w:trPr>
        <w:tc>
          <w:tcPr>
            <w:tcW w:w="4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 10.</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Межбюджетные трансферты общего характера бюджетам бюджетной системы Российской Федерации</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14</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10 147,5</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5 919,3</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58,3</w:t>
            </w:r>
          </w:p>
        </w:tc>
      </w:tr>
      <w:tr w:rsidR="00050973" w:rsidRPr="00050973" w:rsidTr="00050973">
        <w:trPr>
          <w:tblCellSpacing w:w="0" w:type="dxa"/>
        </w:trPr>
        <w:tc>
          <w:tcPr>
            <w:tcW w:w="4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 </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b/>
                <w:bCs/>
                <w:color w:val="000000"/>
                <w:sz w:val="11"/>
                <w:lang w:eastAsia="ru-RU"/>
              </w:rPr>
              <w:t>ИТОГО: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b/>
                <w:bCs/>
                <w:color w:val="000000"/>
                <w:sz w:val="11"/>
                <w:lang w:eastAsia="ru-RU"/>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b/>
                <w:bCs/>
                <w:color w:val="000000"/>
                <w:sz w:val="11"/>
                <w:lang w:eastAsia="ru-RU"/>
              </w:rPr>
              <w:t>848187,659</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b/>
                <w:bCs/>
                <w:color w:val="000000"/>
                <w:sz w:val="11"/>
                <w:lang w:eastAsia="ru-RU"/>
              </w:rPr>
              <w:t>308185,134</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050973" w:rsidRPr="00050973" w:rsidRDefault="00050973" w:rsidP="00050973">
            <w:pPr>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b/>
                <w:bCs/>
                <w:color w:val="000000"/>
                <w:sz w:val="11"/>
                <w:lang w:eastAsia="ru-RU"/>
              </w:rPr>
              <w:t>36,3</w:t>
            </w:r>
          </w:p>
        </w:tc>
      </w:tr>
    </w:tbl>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 </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         Из вышеприведенной таблицы видно, что уровень исполнения расходов районного бюджета по разделам бюджетной классификации Российской Федерации составил от 0,0% до 56,6% от утвержденных плановых ассигнований.</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  Анализ структуры расходов районного бюджета за шесть месяцев 2023 года показал, что от общего объема исполненных расходов районного бюджета:</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lastRenderedPageBreak/>
        <w:t>- расходы на образование составили 50,4% (6 месяцев 2022 года – 46%);</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 расходы на культуру, кинематографию составили 45,2% (6 месяцев 2022 года – 31,3%);</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 общегосударственные вопросы составили 39,6% (6 месяцев 2022 года - 35%);</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 расходы на физическую культуру и спорт составили 31,3%;</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 расходы на национальную безопасность и правоохранительную деятельность составили 30,7%;</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 расходы на социальную политику составили 56,6%;</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 расходы на жилищно-коммунальное хозяйство составили 18,1%.</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 </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b/>
          <w:bCs/>
          <w:color w:val="000000"/>
          <w:sz w:val="11"/>
          <w:lang w:eastAsia="ru-RU"/>
        </w:rPr>
        <w:t>5.</w:t>
      </w:r>
      <w:r w:rsidRPr="00050973">
        <w:rPr>
          <w:rFonts w:ascii="Tahoma" w:eastAsia="Times New Roman" w:hAnsi="Tahoma" w:cs="Tahoma"/>
          <w:color w:val="000000"/>
          <w:sz w:val="11"/>
          <w:szCs w:val="11"/>
          <w:lang w:eastAsia="ru-RU"/>
        </w:rPr>
        <w:t> </w:t>
      </w:r>
      <w:r w:rsidRPr="00050973">
        <w:rPr>
          <w:rFonts w:ascii="Tahoma" w:eastAsia="Times New Roman" w:hAnsi="Tahoma" w:cs="Tahoma"/>
          <w:b/>
          <w:bCs/>
          <w:color w:val="000000"/>
          <w:sz w:val="11"/>
          <w:lang w:eastAsia="ru-RU"/>
        </w:rPr>
        <w:t>Резервный фонд Администрации муниципального района</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Решением о районном бюджете резервный фонд Администрации муниципального района «Советский район» на 2023 год утвержден в сумме    200,0 тыс. рублей (резервный фонд Администрации муниципального района на 2022 год утвержден в сумме 200,0 тыс. рублей).</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В течение 6 месяцев 2022 года средства резервного фонда Администрации муниципального района не расходовались. Информация об исполнении районного бюджета по резервному фонду Администрации муниципального района в соответствии с пунктом 7 статьи 81 Бюджетного кодекса Российской Федерации приложена к Отчету об исполнении районного бюджета.</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b/>
          <w:bCs/>
          <w:color w:val="000000"/>
          <w:sz w:val="11"/>
          <w:lang w:eastAsia="ru-RU"/>
        </w:rPr>
        <w:t>                                        </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b/>
          <w:bCs/>
          <w:color w:val="000000"/>
          <w:sz w:val="11"/>
          <w:lang w:eastAsia="ru-RU"/>
        </w:rPr>
        <w:t>6. Дорожный фонд района</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Решением о районном бюджете объем бюджетных ассигнований дорожного фонда района на 2023 год утвержден в сумме 217 063,0 тыс. рублей, т.е. в размере не менее прогнозируемого объема акцизов по подакцизным товарам (продукции), производимым на территории Российской Федерации и доходов от поступлений транспортного налога, утвержденных решением Представительного Собрания Советского района  от 21.12.2022 №319.</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Средства муниципального дорожного фонда в течение первого полугодия 2023 года использованы в сумме 8 058,9 тыс. рублей, или 3,7% от утвержденных бюджетных назначений.</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b/>
          <w:bCs/>
          <w:color w:val="000000"/>
          <w:sz w:val="11"/>
          <w:lang w:eastAsia="ru-RU"/>
        </w:rPr>
        <w:t> </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b/>
          <w:bCs/>
          <w:color w:val="000000"/>
          <w:sz w:val="11"/>
          <w:lang w:eastAsia="ru-RU"/>
        </w:rPr>
        <w:t>7. Межбюджетные трансферты общего характера, предоставляемые бюджетам поселений из районного бюджета</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Решением о районном бюджете объем межбюджетных трансфертов общего характера, предоставляемых из районного бюджета бюджетам поселений муниципального района «Советский район», на 2023 год утвержден в сумме 1 052,305 тыс. рублей и представлен в виде межбюджетных трансфертов, передаваемых бюджетам муниципальных образований на осуществление части полномочий в сумме 1 052,305 тыс. рублей.</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Межбюджетные трансферты в течение 6 месяцев 2023 года использованы в сумме в сумме 261,450 тыс. рублей, что составило 24,8% от утвержденных бюджетных назначений.</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b/>
          <w:bCs/>
          <w:color w:val="000000"/>
          <w:sz w:val="11"/>
          <w:lang w:eastAsia="ru-RU"/>
        </w:rPr>
        <w:t> </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b/>
          <w:bCs/>
          <w:color w:val="000000"/>
          <w:sz w:val="11"/>
          <w:lang w:eastAsia="ru-RU"/>
        </w:rPr>
        <w:t>8.  Дефицит (профицит) районного бюджета</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Решением о районном бюджете районный бюджет на 2023 год утвержден с дефицитом в сумме 76789,407 тыс. рублей или 9,2% к утвержденному общему объему доходов районного бюджета без учета утвержденного объема безвозмездных поступлений и поступлений налоговых доходов по дополнительным нормативам отчислений.</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  Прогнозируемый дефицит районного бюджета не превысил ограничение, установленное пунктом 3 статьи 92.1. Бюджетного кодекса Российской Федерации.</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Результатом исполнения районного бюджета за 6 месяцев 2023 года явился профицит в сумме + 21999,156 тыс. рублей (за первый квартал 2022 года районный бюджет исполнен с профицитом в сумме 44 449,1 тыс. рублей).</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b/>
          <w:bCs/>
          <w:color w:val="000000"/>
          <w:sz w:val="11"/>
          <w:lang w:eastAsia="ru-RU"/>
        </w:rPr>
        <w:t> </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b/>
          <w:bCs/>
          <w:color w:val="000000"/>
          <w:sz w:val="11"/>
          <w:lang w:eastAsia="ru-RU"/>
        </w:rPr>
        <w:t>9. Анализ источников финансирования дефицита районного     бюджета</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В состав источников финансирования дефицита районного бюджета включены источники, предусмотренные статьей 96 «Источники финансирования дефицита местного бюджета» Бюджетного кодекса Российской Федерации.  </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Плановые ассигнования по источникам финансирования дефицита районного бюджета на 2023 год согласно Отчету об исполнении районного бюджета составили 76789,773 тыс. рублей, изменение остатков средств на счетах по учету средств бюджета.</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Согласно представленному Отчету об исполнении районного бюджета источники финансирования дефицита районного бюджета исполнены в сумме 21999,156 тыс. рублей со знаком «минус».</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b/>
          <w:bCs/>
          <w:color w:val="000000"/>
          <w:sz w:val="11"/>
          <w:lang w:eastAsia="ru-RU"/>
        </w:rPr>
        <w:t> </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b/>
          <w:bCs/>
          <w:color w:val="000000"/>
          <w:sz w:val="11"/>
          <w:lang w:eastAsia="ru-RU"/>
        </w:rPr>
        <w:t>Выводы по результатам анализа отчета об исполнении бюджета муниципального района «Советский район» за 6 месяцев   2023 года:</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Рассмотрев представленный Отчет об исполнении бюджета муниципального района «Советский район» за 6 месяцев 2023 года, Ревизионная комиссия  отмечает следующее:</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1) Доходы районного бюджета исполнены в сумме 330184,290 тыс. рублей или 42,8% от утвержденных плановых (прогнозных) показателей.</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2) Расходы районного бюджета исполнены в сумме 308185,134</w:t>
      </w:r>
      <w:r w:rsidRPr="00050973">
        <w:rPr>
          <w:rFonts w:ascii="Tahoma" w:eastAsia="Times New Roman" w:hAnsi="Tahoma" w:cs="Tahoma"/>
          <w:b/>
          <w:bCs/>
          <w:color w:val="000000"/>
          <w:sz w:val="11"/>
          <w:lang w:eastAsia="ru-RU"/>
        </w:rPr>
        <w:t> </w:t>
      </w:r>
      <w:r w:rsidRPr="00050973">
        <w:rPr>
          <w:rFonts w:ascii="Tahoma" w:eastAsia="Times New Roman" w:hAnsi="Tahoma" w:cs="Tahoma"/>
          <w:color w:val="000000"/>
          <w:sz w:val="11"/>
          <w:szCs w:val="11"/>
          <w:lang w:eastAsia="ru-RU"/>
        </w:rPr>
        <w:t>тыс. рублей или 36,3 % от утвержденных бюджетных назначений.</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3) Суммарный удельный показатель расходов на социальную сферу составил 85 % от общего объема исполненных расходов районного бюджета.</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4) Расходы районного бюджета за счет средств резервного фонда Администрации муниципального района не осуществлялись.</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5) Средства муниципального дорожного фонда в течение первого полугодия 2023 года использованы в сумме 8 058,9 тыс. рублей, или 3,7% от утвержденных бюджетных назначений.</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6) Межбюджетные трансферты общего характера бюджетам поселений предоставлены из районного бюджета в сумме 261,450 тыс. рублей, что составило 24,8% от утвержденных бюджетных назначений.</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         7)  Районный бюджет за 6 месяцев 2023 года исполнен с профицитом в сумме + 21999,156 тыс. рублей.</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 </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b/>
          <w:bCs/>
          <w:color w:val="000000"/>
          <w:sz w:val="11"/>
          <w:lang w:eastAsia="ru-RU"/>
        </w:rPr>
        <w:t>                                             Предложения:</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b/>
          <w:bCs/>
          <w:color w:val="000000"/>
          <w:sz w:val="11"/>
          <w:lang w:eastAsia="ru-RU"/>
        </w:rPr>
        <w:t> </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 учитывая увеличение темпов поступлений безвозмездных поступлений из областного бюджета, обеспечить своевременное исполнение мероприятий муниципальных программ, региональных проектов в целях достижения запланированных результатов и показателей.</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 </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 </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Председатель Ревизионной комиссии</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Советского района Курской области                                               Л. В. Гудилина</w:t>
      </w:r>
    </w:p>
    <w:p w:rsidR="00050973" w:rsidRPr="00050973" w:rsidRDefault="00050973" w:rsidP="00050973">
      <w:pPr>
        <w:shd w:val="clear" w:color="auto" w:fill="EEEEEE"/>
        <w:spacing w:after="0" w:line="240" w:lineRule="auto"/>
        <w:jc w:val="both"/>
        <w:rPr>
          <w:rFonts w:ascii="Tahoma" w:eastAsia="Times New Roman" w:hAnsi="Tahoma" w:cs="Tahoma"/>
          <w:color w:val="000000"/>
          <w:sz w:val="11"/>
          <w:szCs w:val="11"/>
          <w:lang w:eastAsia="ru-RU"/>
        </w:rPr>
      </w:pPr>
      <w:r w:rsidRPr="00050973">
        <w:rPr>
          <w:rFonts w:ascii="Tahoma" w:eastAsia="Times New Roman" w:hAnsi="Tahoma" w:cs="Tahoma"/>
          <w:color w:val="000000"/>
          <w:sz w:val="11"/>
          <w:szCs w:val="11"/>
          <w:lang w:eastAsia="ru-RU"/>
        </w:rPr>
        <w:t> </w:t>
      </w:r>
    </w:p>
    <w:p w:rsidR="00D847F3" w:rsidRPr="00050973" w:rsidRDefault="00D847F3" w:rsidP="00050973"/>
    <w:sectPr w:rsidR="00D847F3" w:rsidRPr="00050973"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50973"/>
    <w:rsid w:val="000D1844"/>
    <w:rsid w:val="002C6FA1"/>
    <w:rsid w:val="003238A1"/>
    <w:rsid w:val="00494147"/>
    <w:rsid w:val="004C3478"/>
    <w:rsid w:val="00522860"/>
    <w:rsid w:val="00766BB3"/>
    <w:rsid w:val="007E7E97"/>
    <w:rsid w:val="008D78ED"/>
    <w:rsid w:val="009379EE"/>
    <w:rsid w:val="009A05D7"/>
    <w:rsid w:val="009A6FE8"/>
    <w:rsid w:val="00AF7AF1"/>
    <w:rsid w:val="00B41713"/>
    <w:rsid w:val="00B56650"/>
    <w:rsid w:val="00BB72ED"/>
    <w:rsid w:val="00C35862"/>
    <w:rsid w:val="00D40A4E"/>
    <w:rsid w:val="00D76A39"/>
    <w:rsid w:val="00D847F3"/>
    <w:rsid w:val="00DA3636"/>
    <w:rsid w:val="00E14B02"/>
    <w:rsid w:val="00E44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s>
</file>

<file path=word/webSettings.xml><?xml version="1.0" encoding="utf-8"?>
<w:webSettings xmlns:r="http://schemas.openxmlformats.org/officeDocument/2006/relationships" xmlns:w="http://schemas.openxmlformats.org/wordprocessingml/2006/main">
  <w:divs>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1929</Words>
  <Characters>10997</Characters>
  <Application>Microsoft Office Word</Application>
  <DocSecurity>0</DocSecurity>
  <Lines>91</Lines>
  <Paragraphs>25</Paragraphs>
  <ScaleCrop>false</ScaleCrop>
  <Company/>
  <LinksUpToDate>false</LinksUpToDate>
  <CharactersWithSpaces>12901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25</cp:revision>
  <dcterms:created xsi:type="dcterms:W3CDTF">2023-09-07T13:12:00Z</dcterms:created>
  <dcterms:modified xsi:type="dcterms:W3CDTF">2023-09-07T13:19:00Z</dcterms:modified>
</cp:coreProperties>
</file>