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 СОЗЫВА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 Е Ш Е Н И Е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24.02.2022 года  № 247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утверждении местных нормативов градостроительного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проектирования муниципального образования «Краснодолинский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сельсовет» 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Курской области от 31.10.2006 года № 76-ЗКО «О градостроительной деятельности в Курской области»,  Уставом муниципального района «Советский район» Курской области,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635366" w:rsidRDefault="00635366" w:rsidP="00635366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Утвердить местные нормативы градостроительного проектирования муниципального образования «Краснодолинский сельсовет» Советского района Курской области», изложив их в новой редакции (прилагаются).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его подписания, подлежит размещению на официальном сайте муниципального образования «Советский район» Курской области, а также в ФГИС ТП в сроки, установленные Градостроительным кодексом РФ.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                                                                      Л.И.Баранова                                                                    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                      В.М.Жилинков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муниципального образования «Краснодолинский сельсовет» 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16"/>
      </w:tblGrid>
      <w:tr w:rsidR="00635366" w:rsidTr="00635366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НОРМАТИВЫ ГРАДОСТРОИТЕЛЬНОГО ПРОЕКТИРОВАНИЯ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2021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СОДЕРЖАНИЕ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71"/>
        <w:gridCol w:w="1129"/>
      </w:tblGrid>
      <w:tr w:rsidR="00635366" w:rsidTr="00635366">
        <w:trPr>
          <w:tblHeader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Примечание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Содержание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I. ОСНОВНАЯ ЧАСТЬ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 Общие положения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1.1 Расположение и природно-климатические условия Краснодолинского сельсовета Советского района Курской области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1.2 Социально-демографический состав и плотность населения на территории Краснодолинского сельсовета Советского района Курской области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2.1. Иные объекты, территории, которые необходимы для осуществления органами местного самоуправления полномочий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по вопросам местного значения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«Краснодолинский сельсовет» Советского района Курской области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 Материалы по обоснованию расчетных показателей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«Краснодолинский сельсовет» Советского района Курской области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«Краснодолинский сельсовет» Советского района Курской области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</w:t>
            </w:r>
          </w:p>
        </w:tc>
      </w:tr>
      <w:tr w:rsidR="00635366" w:rsidTr="00635366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Приложения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I. ОСНОВНАЯ ЧАСТЬ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1. Общие положения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муниципального образования «Краснодолинский сельсовет» Советского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«Краснодолинский сельсовет» Советского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Градостроительного кодекса Российской Федерации.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Краснодолинского сельсовета Советского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  Закона Курской  области от 31.10.2006 года № 76-ЗКО «О градостроительной деятельности в Курской области», населения Краснодолинского сельсовета и расчетные показатели максимально допустимого уровня территориальной доступности таких объектов для населения Краснодолинского сельсовета.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электро-, тепло-, газо- и водоснабжение населения, водоотведение;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автомобильные дороги местного значения;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иные области в связи с решением вопросов местного значения поселения.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Законом Курской области от 31.10.2006 года № 76-ЗКО «О градостроительной деятельности в Курской области» статьёй 16 установлены объекты местного значения для поселения.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объектам местного значения, подлежащим отображению на генеральном плане поселения, относятся: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в области электро-, тепло-, газо- и водоснабжения населения, водоотведения: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автомобильные дороги местного значения, расположенные в границах муниципального образования;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в области культуры, физической культуры и спорта: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культуры, досуга, спорта, находящиеся в собственности муниципального образования;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в области образования: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в области обработки, утилизации, обезвреживания, размещения отходов производства и потребления: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Общая информация из Генерального плана сельсовета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1.1 Расположение и природно-климатические условия Краснодолинского сельсовета 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Расположение в системе расселения и административно-территориальное устройство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 Границы Краснодолинского сельсовета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 – Ранжирование населенных пунктах Краснодолинского сельсовета Советского района Курской области по удаленности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7"/>
        <w:gridCol w:w="2444"/>
        <w:gridCol w:w="1488"/>
        <w:gridCol w:w="2658"/>
        <w:gridCol w:w="1275"/>
        <w:gridCol w:w="2020"/>
      </w:tblGrid>
      <w:tr w:rsidR="00635366" w:rsidTr="00635366">
        <w:trPr>
          <w:tblCellSpacing w:w="0" w:type="dxa"/>
        </w:trPr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18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Удаленность (км.)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Число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дворов</w:t>
            </w:r>
          </w:p>
        </w:tc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softHyphen/>
              <w:t>ность, чел.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районного центра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д.Арцибашевка             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77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д.Березовчик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173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д.Васютино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д.Дице-Платовец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д.Заречье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119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д.Ивановка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104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д.Марьевка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78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д.Серебрянка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41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д.Сухотиновка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13,5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д.Усть-Грязное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д.Шатиловка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пос.им Пушкина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121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п.Советский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п.Соколовка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166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с.Красная Долина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203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с.Мармыжи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с.Октябрьское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65 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186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с.Петровское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56</w:t>
            </w:r>
          </w:p>
        </w:tc>
      </w:tr>
      <w:tr w:rsidR="00635366" w:rsidTr="00635366">
        <w:trPr>
          <w:tblCellSpacing w:w="0" w:type="dxa"/>
        </w:trPr>
        <w:tc>
          <w:tcPr>
            <w:tcW w:w="34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526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1399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Природно-климатические условия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Климат Краснодолинского сельсовета, как и всей Курской области умеренно- 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летом.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таблице ниже представлены климатические характеристики температурного режима.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Таблица. Климатические характеристики.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0"/>
        <w:gridCol w:w="1560"/>
      </w:tblGrid>
      <w:tr w:rsidR="00635366" w:rsidTr="00635366">
        <w:trPr>
          <w:tblHeader/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Показатели</w:t>
            </w:r>
          </w:p>
        </w:tc>
      </w:tr>
      <w:tr w:rsidR="00635366" w:rsidTr="00635366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Абсолютная минимальная температура,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- 37</w:t>
            </w:r>
          </w:p>
        </w:tc>
      </w:tr>
      <w:tr w:rsidR="00635366" w:rsidTr="00635366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Абсолютная максимальная температура,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+ 40</w:t>
            </w:r>
          </w:p>
        </w:tc>
      </w:tr>
      <w:tr w:rsidR="00635366" w:rsidTr="00635366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отопительного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- 1,9</w:t>
            </w:r>
          </w:p>
        </w:tc>
      </w:tr>
      <w:tr w:rsidR="00635366" w:rsidTr="00635366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Продолжительность отопительного периода, суток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228</w:t>
            </w:r>
          </w:p>
        </w:tc>
      </w:tr>
      <w:tr w:rsidR="00635366" w:rsidTr="00635366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воздуха наиболее теплого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+ 27</w:t>
            </w:r>
          </w:p>
        </w:tc>
      </w:tr>
      <w:tr w:rsidR="00635366" w:rsidTr="00635366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воздуха наиболее холодного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- 15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Осадки.</w:t>
      </w:r>
      <w:r>
        <w:rPr>
          <w:rFonts w:ascii="Tahoma" w:hAnsi="Tahoma" w:cs="Tahoma"/>
          <w:color w:val="000000"/>
          <w:sz w:val="11"/>
          <w:szCs w:val="11"/>
        </w:rPr>
        <w:t xml:space="preserve"> По количеству выпадающих осадков территория относится к зоне достаточного увлажнения. За год в среднем за многолетний период выпадает 582 мм осадков. Пространственное и временное их распределение отличается значительной неравномерностью. Большая часть 460 мм приходится на теплый период года и 270 мм – на холодный. В </w:t>
      </w:r>
      <w:r>
        <w:rPr>
          <w:rFonts w:ascii="Tahoma" w:hAnsi="Tahoma" w:cs="Tahoma"/>
          <w:color w:val="000000"/>
          <w:sz w:val="11"/>
          <w:szCs w:val="11"/>
        </w:rPr>
        <w:lastRenderedPageBreak/>
        <w:t>годовом ходе месячных сумм осадков максимум наблюдается в июле (в среднем 76 мм осадков), минимум - в марте (44 мм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50 - 70 см на, а в малоснежные зимы - не превышать 5 см. Число дней со снежным покровом - 130-145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Рисунок. Среднегодовая повторяемость (%) направлений ветра по кварталам</w:t>
      </w:r>
      <w:r>
        <w:rPr>
          <w:rFonts w:ascii="Tahoma" w:hAnsi="Tahoma" w:cs="Tahoma"/>
          <w:color w:val="000000"/>
          <w:sz w:val="11"/>
          <w:szCs w:val="11"/>
        </w:rPr>
        <w:t>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 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Таблица. Скорость ветра.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0"/>
        <w:gridCol w:w="3948"/>
      </w:tblGrid>
      <w:tr w:rsidR="00635366" w:rsidTr="00635366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Скорость ветра возможна 1 раз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Показатель</w:t>
            </w:r>
          </w:p>
        </w:tc>
      </w:tr>
      <w:tr w:rsidR="00635366" w:rsidTr="00635366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год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 м/сек;</w:t>
            </w:r>
          </w:p>
        </w:tc>
      </w:tr>
      <w:tr w:rsidR="00635366" w:rsidTr="00635366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 м/сек;</w:t>
            </w:r>
          </w:p>
        </w:tc>
      </w:tr>
      <w:tr w:rsidR="00635366" w:rsidTr="00635366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10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 м/сек;</w:t>
            </w:r>
          </w:p>
        </w:tc>
      </w:tr>
      <w:tr w:rsidR="00635366" w:rsidTr="00635366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15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 м/сек;</w:t>
            </w:r>
          </w:p>
        </w:tc>
      </w:tr>
      <w:tr w:rsidR="00635366" w:rsidTr="00635366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20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 м/сек.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20-30%. Увеличение повторяемости слабых ветров и штилей отмечается в летние месяцы, достигая максимума в августе.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1.2 Социально-демографический состав и плотность населения на территории Краснодолинского сельсовета 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Всего за период 1990-2010 гг. число жителей области сократилось на 15,4% (более чем на 200 тыс. чел.).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Краснодолинский сельсовет на фоне демографической ситуации, сложившейся в сельской местности Советского района, характеризуется незначительным приростом численности населения, что иллюстрирует направленность внутрирегиональных и внутрирайонных миграционных потоков «село» - «город».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Основными характеристиками современной демографической ситуации в сельсовете являются следующие: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регрессивный тип возрастной структуры населения с долей старческих возрастных групп, превышающих в 1,7 раз детские;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низкий уровень рождаемости, недостаточный для простого замещения родителей их детьми;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высокий уровень смертности населения, особенно в трудоспособном возрасте;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низкие показатели продолжительности жизни населения;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приток мигрантов, частично компенсирующий естественную убыль населения.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Краснодолинского сельсовета.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Составляемые ежегодно Росстатом среднесрочные демографические прогнозы</w:t>
      </w:r>
      <w:hyperlink r:id="rId5" w:anchor="_ftn1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[1]</w:t>
        </w:r>
      </w:hyperlink>
      <w:r>
        <w:rPr>
          <w:rFonts w:ascii="Tahoma" w:hAnsi="Tahoma" w:cs="Tahoma"/>
          <w:color w:val="000000"/>
          <w:sz w:val="11"/>
          <w:szCs w:val="11"/>
        </w:rPr>
        <w:t> содержат несколько устойчивых трендов по каждому демографическому показателю, к которым относятся: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сохранение рождаемости на низком уровне, не обеспечивающем даже простое возобновление поколений;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уровня младенческой смертности;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сохранение смертности взрослого населения на высоком уровне;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стагнация ожидаемой продолжительности жизни с незначительным медленным её увеличением у мужчин;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миграционного прироста;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уменьшение численности населения страны.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Прогнозная динамика важнейших демографических показателей представлена на рисунке ниже.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Рис. Динамика важнейших демографических показателей РФ в динамике до 2020 года (по оценке ЦМАКП</w:t>
      </w:r>
      <w:hyperlink r:id="rId6" w:anchor="_ftn2" w:history="1">
        <w:r>
          <w:rPr>
            <w:rStyle w:val="a4"/>
            <w:rFonts w:ascii="Tahoma" w:hAnsi="Tahoma" w:cs="Tahoma"/>
            <w:color w:val="33A6E3"/>
            <w:sz w:val="11"/>
            <w:szCs w:val="11"/>
          </w:rPr>
          <w:t>[2]</w:t>
        </w:r>
      </w:hyperlink>
      <w:r>
        <w:rPr>
          <w:rStyle w:val="a4"/>
          <w:rFonts w:ascii="Tahoma" w:hAnsi="Tahoma" w:cs="Tahoma"/>
          <w:color w:val="000000"/>
          <w:sz w:val="11"/>
          <w:szCs w:val="11"/>
        </w:rPr>
        <w:t>).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Курской области характерны следующие тенденции демографических показателей: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численности населения;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низкий уровень рождаемости, недостаточный для обеспечения устойчивого воспроизводства населения;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постепенный рост удельного веса населения;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сохраняющаяся миграционная убыль;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увеличение суммарного коэффициента рождаемости;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увеличение ожидаемой продолжительности жизни населения.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Общая численность населения, проживающего на 01.01.2014 года в Краснодолинском сельсовете, составляет 1399 человек. Средний состав семьи – 2,65 человека.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 – Численность населения в границах Краснодолинского сельсовета по данным переписей населения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4"/>
        <w:gridCol w:w="2550"/>
        <w:gridCol w:w="1595"/>
        <w:gridCol w:w="2125"/>
        <w:gridCol w:w="1383"/>
        <w:gridCol w:w="2125"/>
      </w:tblGrid>
      <w:tr w:rsidR="00635366" w:rsidTr="00635366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Удаленность (км.)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Число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дворов</w:t>
            </w:r>
          </w:p>
        </w:tc>
        <w:tc>
          <w:tcPr>
            <w:tcW w:w="1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softHyphen/>
              <w:t>ность, чел.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районного центра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д.Арцибашевка            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77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д.Березовчик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173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д.Васютино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д.Дице-Платовец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д.Заречье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119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д.Ивановка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104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д.Марьевка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27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78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д.Серебрянка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41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д.Сухотиновка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13,5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д.Усть-Грязное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д.Шатиловка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пос.им Пушкина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121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п.Советский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п.Соколовка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166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с.Красная Долина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203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с.Мармыжи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с.Октябрьское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65 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186</w:t>
            </w:r>
          </w:p>
        </w:tc>
      </w:tr>
      <w:tr w:rsidR="00635366" w:rsidTr="00635366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с.Петровское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56</w:t>
            </w:r>
          </w:p>
        </w:tc>
      </w:tr>
      <w:tr w:rsidR="00635366" w:rsidTr="00635366">
        <w:trPr>
          <w:tblCellSpacing w:w="0" w:type="dxa"/>
        </w:trPr>
        <w:tc>
          <w:tcPr>
            <w:tcW w:w="33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526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1399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2 – Динамика численности населения населенных пунктов Краснодолинского сельсовета на начало года)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8"/>
        <w:gridCol w:w="2338"/>
        <w:gridCol w:w="1913"/>
        <w:gridCol w:w="2020"/>
        <w:gridCol w:w="1700"/>
        <w:gridCol w:w="1913"/>
      </w:tblGrid>
      <w:tr w:rsidR="00635366" w:rsidTr="00635366">
        <w:trPr>
          <w:tblCellSpacing w:w="0" w:type="dxa"/>
        </w:trPr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35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 численность населения, чел.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2014 г.*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2010 г.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2002 г.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1989 г.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д.Арцибашевка             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34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д.Березовчик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335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д.Васютино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д.Дице-Платовец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д.Заречье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174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д.Ивановка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116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д.Марьевка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84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д.Серебрянка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77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д.Сухотиновка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27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д.Усть-Грязное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д.Шатиловка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49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пос.им Пушкина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162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п.Советский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п.Соколовка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176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с.Красная Долина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237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с.Мармыжи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106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с.Октябрьское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197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182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с.Петровское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120</w:t>
            </w:r>
          </w:p>
        </w:tc>
      </w:tr>
      <w:tr w:rsidR="00635366" w:rsidTr="00635366">
        <w:trPr>
          <w:tblCellSpacing w:w="0" w:type="dxa"/>
        </w:trPr>
        <w:tc>
          <w:tcPr>
            <w:tcW w:w="1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1399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1282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1638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1956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Уровень урбанизации   сельского поселения принимается равным уровню урбанизации муниципального района и определяется в соответствии с  РНГП.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9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10"/>
        <w:gridCol w:w="1431"/>
        <w:gridCol w:w="535"/>
        <w:gridCol w:w="1272"/>
        <w:gridCol w:w="653"/>
        <w:gridCol w:w="100"/>
        <w:gridCol w:w="945"/>
        <w:gridCol w:w="100"/>
        <w:gridCol w:w="653"/>
        <w:gridCol w:w="757"/>
        <w:gridCol w:w="532"/>
        <w:gridCol w:w="100"/>
        <w:gridCol w:w="129"/>
      </w:tblGrid>
      <w:tr w:rsidR="00635366" w:rsidTr="00635366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 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Наименование, вид объекта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допустимый уровень обеспеченности</w:t>
            </w:r>
          </w:p>
        </w:tc>
        <w:tc>
          <w:tcPr>
            <w:tcW w:w="414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Максимально допустимый уровень территориальной доступности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37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Величина, по группам урбанизации</w:t>
            </w:r>
          </w:p>
        </w:tc>
        <w:tc>
          <w:tcPr>
            <w:tcW w:w="10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30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Величина, по группам урбанизации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Электро-, тепло-, газо- и водоснабжение населения, водоотведение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электроснабжения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электропотребления, кВт ч/год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950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теплоснабжения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теплопотребления, МДж/год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1680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водопотребления,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 в сутки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водоотведения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водоотведения,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 в сутки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автомобильных дорог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Плотность сети, км/ 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Велосипедные и велопешеходные дорожки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39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(см. примечание 1)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Остановочный пункт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объектов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на населенный пункт независимо от количества жителей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мин.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Физическая культура и массовый спорт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физической культуры и массового спорта сельского поселения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объектов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Населенный пункт с численностью населением менее 100 человек – не нормируется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на каждые 1000 человек населения населенного пункта, но не менее 1 объекта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Ритуальные услуги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обслуживания сельского 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Площадь территории, га на 1000 человек численности населения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0,24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Расчетные показатели для проектирования велосипедных дорожек.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22.11.2019 года № Пр-2397, обеспечить население велосипедными дорожками и полосами для велосипедистов.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Таблица 1.1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42"/>
        <w:gridCol w:w="1126"/>
        <w:gridCol w:w="1041"/>
        <w:gridCol w:w="1126"/>
        <w:gridCol w:w="1143"/>
        <w:gridCol w:w="1220"/>
      </w:tblGrid>
      <w:tr w:rsidR="00635366" w:rsidTr="00635366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Фактическая интенсивность движения автомобилей (суммарная в двух направлениях), авт./ч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 400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1200</w:t>
            </w:r>
          </w:p>
        </w:tc>
      </w:tr>
      <w:tr w:rsidR="00635366" w:rsidTr="00635366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Расчетная интенсивность движения велосипедистов, вел./ч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1.2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2"/>
        <w:gridCol w:w="4056"/>
        <w:gridCol w:w="2324"/>
        <w:gridCol w:w="2036"/>
      </w:tblGrid>
      <w:tr w:rsidR="00635366" w:rsidTr="00635366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54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Нормируемый параметр</w:t>
            </w:r>
          </w:p>
        </w:tc>
        <w:tc>
          <w:tcPr>
            <w:tcW w:w="5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Минимальные значения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при новом строительстве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 стесненных условиях</w:t>
            </w:r>
          </w:p>
        </w:tc>
      </w:tr>
      <w:tr w:rsidR="00635366" w:rsidTr="0063536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</w:tr>
      <w:tr w:rsidR="00635366" w:rsidTr="0063536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Расчетная скорость движения, км/ч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</w:tr>
      <w:tr w:rsidR="00635366" w:rsidTr="0063536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проезжей части для движения, м, не менее: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однополосного одностороннего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двухполосного одностороннего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двухполосного со встречным движением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1,0-1,5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1,75-2,5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2,50-3,6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0,75-1,0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1,50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2,00</w:t>
            </w:r>
          </w:p>
        </w:tc>
      </w:tr>
      <w:tr w:rsidR="00635366" w:rsidTr="0063536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велосипедной и пешеходной дорожки с разделением движения дорожной разметкой, м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велопешеходной дорожки, м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полосы для велосипедистов,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1,5-6,0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1,5-3,0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1,5-3,25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1,5-2,0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0,90</w:t>
            </w:r>
          </w:p>
        </w:tc>
      </w:tr>
      <w:tr w:rsidR="00635366" w:rsidTr="0063536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обочин велосипедной дорожки,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</w:tr>
      <w:tr w:rsidR="00635366" w:rsidTr="0063536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Наименьший радиус кривых в плане, м: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 отсутствии виража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 устройстве виража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30-50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2.1. Иные объекты, территории, которые необходимы для осуществления органами местного самоуправления полномочий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вопросам местного значения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Требования к функционально-планировочной организации территорий жилой застройки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многоэтажная жилая застройка – застройка многоквартирными жилыми домами высотой от 9 до 16 этажей и выше.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 территории жилого района должны входить: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жилой застройки;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общественно-деловой застройки, в том числе участки объектов социальной инфраструктуры;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должны быть размещены: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 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хранения легковых автомобилей жителей;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дорожки.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не допускается: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размещение улиц и дорог межрайонного и городского значения;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размещение наземных линейных объектов скоростного внеуличного и внешнего транспорта.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 территории жилого микрорайона должны входить: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жилой застройки;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объектов социальной инфраструктуры;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рекреационных территорий;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улицы местного значения, проезды.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микрорайона должны быть размещены: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социальной инфраструктуры: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хранения легковых автомобилей жителей;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обеспечения передвижения населения по территории жилого микрорайона;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открытые спортплощадки;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дорожки.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микрорайона допускается размещение: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участке многоквартирного жилого дома должны быть организованы: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жителей и посетителей жилого здания;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для сортировки твердых коммунальных отходов и размещения контейнеров для сбора мусора.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Количество машино-мест для легковых автомобилей населения при проектировании жилой застройки следует определять исходя из нормы:           1 машино-место на 93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2 </w:t>
      </w:r>
      <w:r>
        <w:rPr>
          <w:rFonts w:ascii="Tahoma" w:hAnsi="Tahoma" w:cs="Tahoma"/>
          <w:color w:val="000000"/>
          <w:sz w:val="11"/>
          <w:szCs w:val="11"/>
        </w:rPr>
        <w:t>(статистические данные за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2019 год) и уровня автомобилизации на 1 человека – 0,33 машино-места).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Количество машино-мест для хранения легковых автомобилей населения, в том числе гостевых парковок, в границах земельного участка должно составлять не менее 40 % от расчетного количества.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общей площади квартир, в том числе подземные, встроенные или встроенно-пристроенные к жилым домам.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13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Минимально допустимые размеры площадок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различного функционального назначения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55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40"/>
        <w:gridCol w:w="1275"/>
        <w:gridCol w:w="1106"/>
        <w:gridCol w:w="1217"/>
      </w:tblGrid>
      <w:tr w:rsidR="00635366" w:rsidTr="00635366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Площадки, размещаемые на территории жилой застройки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Минимальный расчетный размер площадки,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/чел.*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Минимально допустимый размер одной площадки,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Расстояние от границы площадки до окон жилого дома, м</w:t>
            </w:r>
          </w:p>
        </w:tc>
      </w:tr>
      <w:tr w:rsidR="00635366" w:rsidTr="00635366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игр детей дошкольного и младшего школьного возраста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</w:tr>
      <w:tr w:rsidR="00635366" w:rsidTr="00635366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отдыха взрослого населения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занятий физкультурой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2**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 – 40</w:t>
            </w:r>
          </w:p>
        </w:tc>
      </w:tr>
      <w:tr w:rsidR="00635366" w:rsidTr="00635366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хозяйственных целей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</w:tr>
      <w:tr w:rsidR="00635366" w:rsidTr="00635366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выгула собак (для комплексной застройки территории)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*Расчет численности жителей осуществляется исходя из нормы обеспеченности жильем населения – 31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/ чел.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2.2 Размещение коллективных подземных хранилищ сельскохозяйственных продуктов в жилых зонах поселений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5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84"/>
        <w:gridCol w:w="986"/>
        <w:gridCol w:w="904"/>
        <w:gridCol w:w="969"/>
        <w:gridCol w:w="1042"/>
      </w:tblGrid>
      <w:tr w:rsidR="00635366" w:rsidTr="00635366">
        <w:trPr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Озелененные территории общего пользования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Расчетные показатели по уровню урбанизации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</w:tr>
      <w:tr w:rsidR="00635366" w:rsidTr="00635366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Жилых районов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на 1 чел.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«Краснодолинский сельсовет» 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 Материалы по обоснованию расчетных показателей минимально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«Краснодолинский сельсовет» 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«Краснодолинский сельсовет» Советского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88"/>
        <w:gridCol w:w="4812"/>
      </w:tblGrid>
      <w:tr w:rsidR="00635366" w:rsidTr="00635366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Наименование, вид объекта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 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Сельское поселение</w:t>
            </w:r>
          </w:p>
        </w:tc>
      </w:tr>
      <w:tr w:rsidR="00635366" w:rsidTr="00635366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1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5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электроснабжения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 950 кВт ч/год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 1 чел. х К,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теплоснабжения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1680 МДж/год на 1 чел. х К,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lastRenderedPageBreak/>
              <w:t>Объекты водоснабжения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«А» получаем по формуле: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 л/сут. на 1 чел. х К,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водоотведения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«А» получаем по формуле: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 л/сут. на 1 чел. х К,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автомобильных дорог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Плотность сети 4,0 км/км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принята в соответствии с пунктом 1.15 «Руководство по проектированию городских улиц и дорог» Центральный научно-исследовательский ипроектный институт по градостроительству (ЦНИИП Градостроительства) Госгражданстроя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 4,0 км/км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х К,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Велосипедные и велопешеходные дорожки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Остановочный пункт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Пункт 7 части 1 статьи 14 Федерального закона от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 октября 2003 года № 131-ФЗ «Об общих принципах местного самоуправления в Российской Федерации» Пешеходная доступность 30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физической культуры и массового спорта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Населенные пункты с численностью населения менее 100 человек – не нормируется.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объект на каждые 1000 человек населения населенного пункта, но не менее 1 объекта.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Область ритуальных услуг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ритуальных услуг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III. ПРАВИЛА И ОБЛАСТЬ ПРИМЕНЕНИЯ РАСЧеТНЫХ ПОКАЗАТЕЛЕЙ, СОДЕРЖАЩИХСЯ В ОСНОВНОЙ ЧАСТИ МЕСТНЫХ НОРМАТИВОВ ГРАДОСТРОИТЕЛЬНОГО ПРОЕКТИРОВАНИЯ «Краснодолинский сельсовет» 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распространяются на предлагаемые к размещению на территории муниципального образования «Краснодолинский сельсовет» Советского района Курской области объекты местного значения, относящиеся к областям, указанным в </w:t>
      </w:r>
      <w:hyperlink r:id="rId7" w:anchor="dst10168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статье </w:t>
        </w:r>
      </w:hyperlink>
      <w:r>
        <w:rPr>
          <w:rFonts w:ascii="Tahoma" w:hAnsi="Tahoma" w:cs="Tahoma"/>
          <w:color w:val="000000"/>
          <w:sz w:val="11"/>
          <w:szCs w:val="11"/>
        </w:rPr>
        <w:t>23 Градостроительного кодекса Российской Федерации.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применяются при: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подготовке документов территориального планирования муниципального образования «Краснодолинский сельсовет» Советского района Курской области: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определения территорий, имеющих недостаточную обеспеченность нормируемыми объектами;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планируемого размещения и реконструкции объектов местного значения по областям;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учитываются при: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 подготовке документов территориального планирования муниципальных образований Курской области: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планируемого функционального зонирования территории;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2)подготовке правил землепользования и застройки территорий муниципальных образований: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используются для принятия решений органами местного самоуправления,  физическими и юридическими лицами.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                                                                                Приложение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                        проектирования Краснодолинского сельсовета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                                       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ПЕРЕЧЕНЬ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используемых терминов и определений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>
        <w:rPr>
          <w:rFonts w:ascii="Tahoma" w:hAnsi="Tahoma" w:cs="Tahoma"/>
          <w:color w:val="000000"/>
          <w:sz w:val="11"/>
          <w:szCs w:val="11"/>
        </w:rPr>
        <w:softHyphen/>
        <w:t>странственного развития крупного города-ядра.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                                                                          Приложение 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                       проектирования Краснодолинского сельсовета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                                            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ПЕРЕЧЕНЬ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нормируемых объектов местного значения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6492"/>
      </w:tblGrid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 п.п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нормируемых объектов местного значения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Остановочный пункт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Специализированная служба по вопросам похоронного дела</w:t>
            </w:r>
          </w:p>
        </w:tc>
      </w:tr>
      <w:tr w:rsidR="00635366" w:rsidTr="00635366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Аптеки</w:t>
            </w: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                                                                    Приложение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                        проектирования Краснодолинского сельсовета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                                          Советского района Курской области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Расчетные показатели минимально допустимого количества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машино-мест для парковки легковых автомобилей на стоянках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 объектам местного значения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104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8"/>
        <w:gridCol w:w="3617"/>
        <w:gridCol w:w="2784"/>
        <w:gridCol w:w="909"/>
        <w:gridCol w:w="100"/>
        <w:gridCol w:w="1534"/>
        <w:gridCol w:w="805"/>
        <w:gridCol w:w="100"/>
        <w:gridCol w:w="180"/>
      </w:tblGrid>
      <w:tr w:rsidR="00635366" w:rsidTr="00635366">
        <w:trPr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объекта</w:t>
            </w:r>
          </w:p>
        </w:tc>
        <w:tc>
          <w:tcPr>
            <w:tcW w:w="18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допустимый уровень обеспеченности</w:t>
            </w:r>
          </w:p>
        </w:tc>
        <w:tc>
          <w:tcPr>
            <w:tcW w:w="1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Максимально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допустимый уровень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территориальной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доступности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учебно-образовательного назначения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Высшие учебные заведения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Преподавателей + студентов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+ 20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Средние профессиональные учебные заведения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Преподавателей + студентов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Дошкольные образовательные организации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Объекты дополнительного образования детей городского значения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Применяются только для новой застройки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Общеобразовательные школы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уширениях проезжей части или на специально отведенном земельном участке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Применяются только для новой застройки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lastRenderedPageBreak/>
              <w:t>2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административно-делового назначения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Учреждения управления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Коммерческие деловые центры, офисные здания и помещения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Банки и банковские учреждения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(с операционным залом/ без него)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30(65)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Научно-исследовательские и проектные институты, лаборатории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здравоохранения, спорта, досуга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Больницы, профилактории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койко-мест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Поликлиники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посещений в смену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Ветеринарные клиники: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с 1 ветеринарным врачом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с 2 и более ветеринарными врачами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кв.м 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Спортивные комплексы и стадионы с трибунами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5+25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Аквапарки, бассейны, катки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Музеи, выставочные комплексы, галереи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Детские досуговые центры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Центры обучения, самодеятельного творчества, клубы по интересам для взрослых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Банно-оздоровительный комплекс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торгово-бытового и коммунального назначения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Развлекательные центры, цирки, кинотеатры, театры, архивы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(мест)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Рестораны, кафе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(5)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Культовые объекты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Посетителей +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Общежития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проживающих на 1 машино-место</w:t>
            </w:r>
          </w:p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Вокзалы всех видов транспорта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пассажиров в час пик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Производственные и коммунально-складские здания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в двух смежных сменах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Гостиницы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мест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Детские дома-интернаты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Работающие, занятые в одну смену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Отдыхающие и обслуживающий персонал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Зоопарки, зверинцы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Кладбища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АЗС, АГЗС, объекты технического обслуживания автомобилей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пост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Технические этажи, технические помещения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Рекреационные территории и объекты отдыха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Пляжи и парки в зонах отдыха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Лесопарки и заповедники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Береговые базы маломерного флота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Санатории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635366" w:rsidTr="00635366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635366" w:rsidRDefault="00635366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</w:tr>
    </w:tbl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35366" w:rsidRDefault="00635366" w:rsidP="00635366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6pt" o:hralign="center" o:hrstd="t" o:hrnoshade="t" o:hr="t" fillcolor="black" stroked="f"/>
        </w:pic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8" w:anchor="_ftnref1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[1]</w:t>
        </w:r>
      </w:hyperlink>
      <w:r>
        <w:rPr>
          <w:rFonts w:ascii="Tahoma" w:hAnsi="Tahoma" w:cs="Tahoma"/>
          <w:color w:val="000000"/>
          <w:sz w:val="11"/>
          <w:szCs w:val="11"/>
        </w:rPr>
        <w:t>           Предположительная численность населения Российской Федерации. Ежегодный статистический бюллетень. М., Государственный комитет Российской Федерации по статистике. (2000 г., 2005 г).</w:t>
      </w:r>
    </w:p>
    <w:p w:rsidR="00635366" w:rsidRDefault="00635366" w:rsidP="006353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9" w:anchor="_ftnref2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[2]</w:t>
        </w:r>
      </w:hyperlink>
      <w:r>
        <w:rPr>
          <w:rFonts w:ascii="Tahoma" w:hAnsi="Tahoma" w:cs="Tahoma"/>
          <w:color w:val="000000"/>
          <w:sz w:val="11"/>
          <w:szCs w:val="11"/>
        </w:rPr>
        <w:t>           Долгосрочное прогнозирование: от методологии к видению. Центр макроэкономического анализа и краткосрочного прогнозирования. М., 2006 г.</w:t>
      </w:r>
    </w:p>
    <w:p w:rsidR="00D847F3" w:rsidRPr="00635366" w:rsidRDefault="00D847F3" w:rsidP="00635366"/>
    <w:sectPr w:rsidR="00D847F3" w:rsidRPr="00635366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00D3F"/>
    <w:multiLevelType w:val="multilevel"/>
    <w:tmpl w:val="DC5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40689"/>
    <w:multiLevelType w:val="multilevel"/>
    <w:tmpl w:val="D55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9E61C9"/>
    <w:multiLevelType w:val="multilevel"/>
    <w:tmpl w:val="3AA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14"/>
  </w:num>
  <w:num w:numId="4">
    <w:abstractNumId w:val="21"/>
  </w:num>
  <w:num w:numId="5">
    <w:abstractNumId w:val="17"/>
  </w:num>
  <w:num w:numId="6">
    <w:abstractNumId w:val="11"/>
  </w:num>
  <w:num w:numId="7">
    <w:abstractNumId w:val="0"/>
  </w:num>
  <w:num w:numId="8">
    <w:abstractNumId w:val="23"/>
  </w:num>
  <w:num w:numId="9">
    <w:abstractNumId w:val="22"/>
  </w:num>
  <w:num w:numId="10">
    <w:abstractNumId w:val="8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4"/>
  </w:num>
  <w:num w:numId="18">
    <w:abstractNumId w:val="18"/>
  </w:num>
  <w:num w:numId="19">
    <w:abstractNumId w:val="25"/>
  </w:num>
  <w:num w:numId="20">
    <w:abstractNumId w:val="2"/>
  </w:num>
  <w:num w:numId="21">
    <w:abstractNumId w:val="9"/>
  </w:num>
  <w:num w:numId="22">
    <w:abstractNumId w:val="26"/>
  </w:num>
  <w:num w:numId="23">
    <w:abstractNumId w:val="16"/>
  </w:num>
  <w:num w:numId="24">
    <w:abstractNumId w:val="10"/>
  </w:num>
  <w:num w:numId="25">
    <w:abstractNumId w:val="20"/>
  </w:num>
  <w:num w:numId="26">
    <w:abstractNumId w:val="3"/>
  </w:num>
  <w:num w:numId="27">
    <w:abstractNumId w:val="12"/>
  </w:num>
  <w:num w:numId="28">
    <w:abstractNumId w:val="27"/>
  </w:num>
  <w:num w:numId="29">
    <w:abstractNumId w:val="2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3C4887"/>
    <w:rsid w:val="003F74E8"/>
    <w:rsid w:val="004010B5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459FB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564D3"/>
    <w:rsid w:val="00666918"/>
    <w:rsid w:val="00667721"/>
    <w:rsid w:val="00673854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D49AD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6446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0312"/>
    <w:rsid w:val="00FA2729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22150&amp;num_str=11&amp;id_mat=456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2ce3b4c2e314b31833138ad26a48ec33f57545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22150&amp;num_str=11&amp;id_mat=4565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vetskiyr.rkursk.ru/index.php?mun_obr=380&amp;sub_menus_id=22150&amp;num_str=11&amp;id_mat=4565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vetskiyr.rkursk.ru/index.php?mun_obr=380&amp;sub_menus_id=22150&amp;num_str=11&amp;id_mat=456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8100</Words>
  <Characters>46171</Characters>
  <Application>Microsoft Office Word</Application>
  <DocSecurity>0</DocSecurity>
  <Lines>384</Lines>
  <Paragraphs>108</Paragraphs>
  <ScaleCrop>false</ScaleCrop>
  <Company/>
  <LinksUpToDate>false</LinksUpToDate>
  <CharactersWithSpaces>54163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287</cp:revision>
  <dcterms:created xsi:type="dcterms:W3CDTF">2023-09-07T13:12:00Z</dcterms:created>
  <dcterms:modified xsi:type="dcterms:W3CDTF">2023-09-08T17:37:00Z</dcterms:modified>
</cp:coreProperties>
</file>