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szCs w:val="11"/>
          <w:lang w:eastAsia="ru-RU"/>
        </w:rPr>
        <w:br/>
      </w:r>
      <w:r w:rsidRPr="00DF22D0">
        <w:rPr>
          <w:rFonts w:ascii="Tahoma" w:eastAsia="Times New Roman" w:hAnsi="Tahoma" w:cs="Tahoma"/>
          <w:b/>
          <w:bCs/>
          <w:color w:val="000000"/>
          <w:sz w:val="11"/>
          <w:lang w:eastAsia="ru-RU"/>
        </w:rPr>
        <w:t>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 </w:t>
      </w:r>
    </w:p>
    <w:p w:rsidR="00DF22D0" w:rsidRPr="00DF22D0" w:rsidRDefault="00DF22D0" w:rsidP="00DF22D0">
      <w:pPr>
        <w:shd w:val="clear" w:color="auto" w:fill="EEEEEE"/>
        <w:spacing w:after="0" w:line="240" w:lineRule="auto"/>
        <w:jc w:val="center"/>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ПРЕДСТАВИТЕЛЬНОЕ   СОБРАНИЕ</w:t>
      </w:r>
    </w:p>
    <w:p w:rsidR="00DF22D0" w:rsidRPr="00DF22D0" w:rsidRDefault="00DF22D0" w:rsidP="00DF22D0">
      <w:pPr>
        <w:shd w:val="clear" w:color="auto" w:fill="EEEEEE"/>
        <w:spacing w:after="0" w:line="240" w:lineRule="auto"/>
        <w:jc w:val="center"/>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                   СОВЕТСКОГО  РАЙОНА КУРСКОЙ   ОБЛАСТИ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ЧЕТВЁРТОГО СОЗЫВА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Р Е Ш Е Н И Е</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от 24.02.2022 года № 239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w:t>
      </w:r>
    </w:p>
    <w:tbl>
      <w:tblPr>
        <w:tblW w:w="5234" w:type="dxa"/>
        <w:tblCellSpacing w:w="0" w:type="dxa"/>
        <w:shd w:val="clear" w:color="auto" w:fill="EEEEEE"/>
        <w:tblCellMar>
          <w:left w:w="0" w:type="dxa"/>
          <w:right w:w="0" w:type="dxa"/>
        </w:tblCellMar>
        <w:tblLook w:val="04A0"/>
      </w:tblPr>
      <w:tblGrid>
        <w:gridCol w:w="5234"/>
      </w:tblGrid>
      <w:tr w:rsidR="00DF22D0" w:rsidRPr="00DF22D0" w:rsidTr="00DF22D0">
        <w:trPr>
          <w:tblCellSpacing w:w="0" w:type="dxa"/>
        </w:trPr>
        <w:tc>
          <w:tcPr>
            <w:tcW w:w="680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DF22D0" w:rsidRPr="00DF22D0" w:rsidRDefault="00DF22D0" w:rsidP="00DF22D0">
            <w:pPr>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Об отчёте Главы Советского района Курской области о результатах своей деятельности и деятельности Администрации Советского района Курской области за 2021 год</w:t>
            </w:r>
          </w:p>
        </w:tc>
      </w:tr>
    </w:tbl>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Заслушав и обсудив представленный Главой Советского района Курской области Жилинковым Владимиром Михайловичем отчёт о результатах своей деятельности и деятельности Администрации Советского района Курской области за 2021 год, в том числе о решении вопросов, поставленных Представительным Собранием Советского района Курской области, в соответствии со статьями 35, 36 Федерального закона от 6.10.2003 года № 131-ФЗ «Об общих принципах организации местного самоуправления в Российской Федерации» Представительное Собрание Советского района </w:t>
      </w:r>
      <w:r w:rsidRPr="00DF22D0">
        <w:rPr>
          <w:rFonts w:ascii="Tahoma" w:eastAsia="Times New Roman" w:hAnsi="Tahoma" w:cs="Tahoma"/>
          <w:b/>
          <w:bCs/>
          <w:color w:val="000000"/>
          <w:sz w:val="11"/>
          <w:lang w:eastAsia="ru-RU"/>
        </w:rPr>
        <w:t>решило:</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1.Утвердить отчёт Главы Советского района Курской области о результатах своей деятельности и деятельности Администрации Советского района Курской области, в том числе о решении вопросов, поставленных Представительным Собранием Советского района Курской области, за 2021 год (прилагается).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2.Признать деятельность Главы Советского района Курской области  Жилинкова Владимира Михайловича и деятельность Администрации Советского района Курской области за 2021 год, в том числе по решению вопросов, поставленных Представительным Собранием Советского района Курской области, удовлетворительной.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3.Настоящее решение вступает в силу со дня его принятия и подлежит опубликованию на официальном сайте муниципального образования «Советский район» Курской области.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Заместитель Председателя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Представительного Собрания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Советского района                                                                         Л.И.Баранова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Приложение</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к решению Представительного</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Собрания Советского района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от 24.02.2022 г. № 239</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Отчёт</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Главы Советского района Курской области о результатах своей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деятельности и деятельности Администрации Советского района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 Курской области, в том числе о решении вопросов, поставленных</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 Представительным Собранием Советского района Курской области,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за 2021 год</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соответствии с действующим законодательством и Уставом муниципального района «Советский район» представляю отчет о своей деятельности и деятельности Администрации Советского района в 2021 году.</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Наша работа строится в соответствии с Конституцией РФ, Указами Президента, Федеральным законом «Об общих принципах организации местного самоуправления в Российской Федерации», региональными программами развития Курской области и муниципальными программами Советского района и направлена на обеспечение поступательного социально-экономического развития района и рост благосостояния его жителей.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Подводя итоги года, нужно отметить, что, несмотря на влияние кризиса, вызванного пандемией коронавирусной инфекции, в 2021 году произошел ряд значимых общественно-политических событий, в которых жители Советского района приняли самое активное участие.</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сентябре прошлого года жители района проявили свою гражданскую позицию, приняв участие в выборах депутатов Государственной Думы Федерального Собрания Российской Федерации и депутатов местных представительных органов.</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Еще одним важнейшим событием 2021 года стала Всероссийская перепись населения, которая была перенесена с 2020 года по известным всем причинам.</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Во время сбора информации о жителях Советского района переписчики обошли почти 6,9 тыс. домовладений, переписано более 16 тыс. человек. Учитывая эпидемиологическую обстановку, перепись проводилась при полном соблюдении санитарных норм. Переписаться можно было не только дома, но и Госуслугах.</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Полученные сведения о населении будут использованы для формирования долгосрочных программ развития и для разработки федерального, областных и местных бюджетов. Итоги переписи станут известны к концу этого года.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разработан проект «Стратегии социально-экономического развития Советского района на период до 2030 года» и План мероприятий по ее реализации. Проект Стратегии прошел все согласования с заинтересованными комитетами Администрации Курской области, прошло общественное обсуждение. Проект Стратегии предстоит утвердить решением Представительного Собрания. Это стратегический документ, которым мы будем руководствоваться в своей практической деятельности, направленной на обеспечение долгосрочного развития экономики и социальной сферы района, достижение целевых показателей и повышение уровня и качества жизни населения.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Немаловажным для нас ориентиром в улучшении нашей работы является ежегодная оценка эффективности деятельности органов местного самоуправления, где оценивается 41 показатель эффективности.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рейтинге муниципальных районов по комплексной оценке эффективности деятельности органов местного самоуправления, сформированном в сентябре 2021 года, Советский район по итогам 2020 года занимает 5 позицию, по итогам 2019 года было 11 место, (по итогам 2018 – 22-е).</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Пандемия COVID-19 продолжает испытывать на прочность нашу </w:t>
      </w:r>
      <w:r w:rsidRPr="00DF22D0">
        <w:rPr>
          <w:rFonts w:ascii="Tahoma" w:eastAsia="Times New Roman" w:hAnsi="Tahoma" w:cs="Tahoma"/>
          <w:b/>
          <w:bCs/>
          <w:color w:val="000000"/>
          <w:sz w:val="11"/>
          <w:lang w:eastAsia="ru-RU"/>
        </w:rPr>
        <w:t>систему здравоохранения.</w:t>
      </w:r>
      <w:r w:rsidRPr="00DF22D0">
        <w:rPr>
          <w:rFonts w:ascii="Tahoma" w:eastAsia="Times New Roman" w:hAnsi="Tahoma" w:cs="Tahoma"/>
          <w:color w:val="000000"/>
          <w:sz w:val="11"/>
          <w:szCs w:val="11"/>
          <w:lang w:eastAsia="ru-RU"/>
        </w:rPr>
        <w:t> Ситуация с новой коронавирусной инфекцией продолжает оставаться напряженной. Вся система здравоохранения работает в мобилизационном формате. Уже около 2 лет медикам приходится удерживать баланс между оказанием плановой помощи, экстренной медицинской помощи и обеспечению работы по вакцинопрофилактике населения от COVID-19.</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Советской ЦРБ организовано отделение для лечения пациентов с новой коронавирусной инфекцией COVID-19 на 100 коек. За 2021 год пролечено 1262 пациента. В настоящее время по состоянию на 10.02.2022 года в связи с резким ростом заболеваемости в отделении находится 89 пациентов.</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Сегодня уже бесполезно отрицать тот факт, что единственным спасением от коронавируса является вакцинация. Вакцинироваться в районе можно не только в поликлинике, но и во всех сельских поселениях на базе ФАПов.</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За 2021 год вакцинировано 8987 человек, это 80 % от необходимого уровня для достижения коллективного иммунитета, завершенный курс вакцинации имеют 6128 человек. Ревакцинацию прошли 1658 человек.</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Несмотря на активную работу в борьбе с коронавирусом, продолжается работа по модернизации системы здравоохранения.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рамках реализации региональной программы «Развитие паллиативной медицинской помощи взрослому населению» в ЦРБ создано отделение паллиативной помощи на 15 коек, пролечено 64 пациента. Приобретен ИВЛ, медицинские кровати, прочие расходные материалы. На эти цели из областного бюджета выделено и израсходовано 2,9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рамках проекта «Создание единого цифрового контура в здравоохранении на основе единой государственной информационной системы здравоохранения ЕГИСЗ» в Советскую ЦРБ поставлены ноутбуки и программное обеспечение на сумму 642 тыс.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По государственной программе Курской области «Развитие здравоохранения в Курской области» выделено 6 млн. рублей, было приобретено лабораторное оборудование; произведен монтаж компьютерного томографа; приобретена система гарантированного энергоснабжения; разработана проектно-сметная документация на замену лифта.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Ощутимая безвозмездная финансовая поддержка оказана нашей больнице за счет инвесторов. В 2021 году предприятия района пожертвовали 11,6 млн. рублей, средства были потрачены на установку КТ модуля, анализатора ВА-200, приобретение оборудования и текущий ремонт.</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2022 году на территории района возведут 12 ФАПов и 2 офиса врача общей практики, также запланирован ремонт поликлиники ЦРБ, установят новые маммограф и флюорограф, на эти цели планируют потратить 179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Все готово к организации в ЦРБ межрайонного хирургического центра второго уровня. Здесь будут концентрироваться случаи средней степени сложности.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рамках проекта «Народный бюджет» подана заявка на благоустройство прилегающей к Советской ЦРБ территории, стоимость проекта 2,1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За 3 года привлечены 6 врачей: 2 терапевта-участковых, 1 анестезиолог-реаниматолог, 1 рентгенолог, 1 хирург, 1 травматолог.</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Основой экономики района является </w:t>
      </w:r>
      <w:r w:rsidRPr="00DF22D0">
        <w:rPr>
          <w:rFonts w:ascii="Tahoma" w:eastAsia="Times New Roman" w:hAnsi="Tahoma" w:cs="Tahoma"/>
          <w:b/>
          <w:bCs/>
          <w:color w:val="000000"/>
          <w:sz w:val="11"/>
          <w:lang w:eastAsia="ru-RU"/>
        </w:rPr>
        <w:t>агропромышленный комплекс</w:t>
      </w:r>
      <w:r w:rsidRPr="00DF22D0">
        <w:rPr>
          <w:rFonts w:ascii="Tahoma" w:eastAsia="Times New Roman" w:hAnsi="Tahoma" w:cs="Tahoma"/>
          <w:color w:val="000000"/>
          <w:sz w:val="11"/>
          <w:szCs w:val="11"/>
          <w:lang w:eastAsia="ru-RU"/>
        </w:rPr>
        <w:t>. Аграриями района обрабатывается 81,8 тыс. гектаров пашни, в сельхозпроизводстве занято около 900 человек, ими в прошедшем году произведено сельхозпродукции в действующих ценах на 6,5 млрд.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В последние годы сельскохозяйственный бизнес становится всё более рентабельным и перспективным. За 2021 год сельхозтоваропроизводители района по прогнозу получат более 1,3 млрд. рублей прибыли, рентабельность производства 43 процента.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обшей прибыли господдержка составляет 45,3 млн. рублей. За год получено субсидий на стимулирование отдельных подотраслей в области растениеводства 17,6 млн. рублей, в области животноводства 18,3 млн. рублей, получен грант в форме субсидий на развитие семейных ферм в сумме 9,4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Кроме того, аграрии получили в прошедшем году 676 млн. рублей льготных краткосрочных и инвестиционных кредитов с процентной ставкой от 1 до 5 процентов.</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Растениеводство является основной отраслью сельского хозяйства, она занимает 88 процентов общего объема продукции. Отрасль специализируется на производстве зерновых культур, сахарной свеклы, масличных культур и обеспечивает продовольственную безопасность, поставляя на рынок продукцию.</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Производством продукции полеводства занято 11 сельхозпредприятий, различных форм собственности, 28 крестьянских (фермерских) хозяйств и ЛПХ.</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Ушедший год для аграриев выдался крайне непростым, в течение всего сезона погода вносила коррективы в процесс сельхозпроизводства, погибли посевы озимой пшеницы на площади 10 тыс. гектар, это сказалось на недоборе урожая.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Валовое производство зерна в районе в 2021 году по сравнению с уровнем 2020 года снизилось на 22 процента и составило 202 тыс. тонн. Средняя урожайность по району сложилась 45,3 центнера с гектара. С намолотом более 200 тыс. тонн район вошел в первую восьмерку районов области.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Производство сахарной свеклы является основой развития свеклосахарного производства района. Накопано 231 тыс. тонн свекловичных корней, при средней урожайности 346 центнеров с гектара. Урожайность скромная, к уровню 2020 года снизилась на 17 процентов.  По свекле район также на восьмом месте.</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производстве масличных культур продолжена положительная динамика, их доля в севообороте занимает 30 процентов. Намолот маслосемян составил 51 тыс. тонн, при средней урожайности 22 центнера с гектара.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развитие отрасли растениеводства огромное влияние оказывает укрепление материально-технической базы. На протяжении последних ряда лет ведется планомерная работа над обновлением парка сельхозтехники, что существенно повышает эффективность производства. Только в 2021 году приобретено машин и оборудования на 382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lastRenderedPageBreak/>
        <w:t>Большую роль в получении урожая играют удобрения, их было внесено более 9 тыс. тонн в действующем веществе, по 136 кг на 1гектар посевной площади.  А также посевные качества высеянных семян, в прошлом году было высеяно более 90 процентов семян 1, 2 репродукций, кроме того, 9 процентов посевов было засеяно элитными семенами.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районе сохранена стабильность в отрасли животноводства.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1 января 2022 года численность поголовья крупного рогатого скота во всех категориях хозяйств района составляет 6,2 тыс. голов, их них коров 2,5 тыс. голов.</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Основной скот, это 65 процентов поголовья, содержится в сельскохозяйственных предприятиях и фермерских хозяйствах, а 35 процентов у населения.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За год в целом по району произведено около 18 тыс. тонн молока. Надой на корову в общественном секторе составил 8017 кг. Произведено 0,8 тыс. тонн мяса.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Сейчас в животноводстве благополучно продолжается зимовка скота, кормами скот обеспечен в полном объеме и есть все основания ожидать динамичного развития отрасли.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Перед агропромышленным комплексом района в 2022 году стоит задача не только закрепить достигнутое, но и планомерно наращивать сельскохозяйственное производство, вести работу по повышению плодородия земель, работать над повышением качества выращенной продукции, над повышением продуктивности животных.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этом году планируется произвести не менее 255 тыс. тонн зерновых, 356 тыс. тонн сахарной свеклы, 55 тыс. тонн масличных; в животноводстве - не менее 18,3 тыс. тонн молока и 0,9 тыс. тонн мяса.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В перерабатывающей отрасли</w:t>
      </w:r>
      <w:r w:rsidRPr="00DF22D0">
        <w:rPr>
          <w:rFonts w:ascii="Tahoma" w:eastAsia="Times New Roman" w:hAnsi="Tahoma" w:cs="Tahoma"/>
          <w:color w:val="000000"/>
          <w:sz w:val="11"/>
          <w:szCs w:val="11"/>
          <w:lang w:eastAsia="ru-RU"/>
        </w:rPr>
        <w:t> в районе действует крупное предприятие Кшенский сахарный комбинат. С 2017 года работает под руководством одной из мощнейших и быстро развивающихся компаний «РУСАГРО». За это время в модернизацию и реконструкцию комбината было вложено более 1,1 млрд. рублей. Мощность комбината увеличилась до переработки 5000 тонн сахарной свёклы в сутки.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отчетном 2021 году переработано 342,8 тыс. тонн сахарной свеклы. При выходе сахара 15,6 процента произведено 53,53 тыс. тонн сахара (в 2020 – 60,54 тыс. тонн) или 88 процентов от уровня предыдущего года в связи со снижением объема заготовки.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Из предприятий промышленности следует отметить ООО «Пластимпульс», которое занимается добычей, переработкой и реализацией тугоплавких глин. Данные глины используются в качестве сырья для керамических и кирпичных заводов. В 2021 году добыто 187 тыс. тонн глины, отгружено 214 тыс. тонн.</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Существенный вклад в экономику района вносят </w:t>
      </w:r>
      <w:r w:rsidRPr="00DF22D0">
        <w:rPr>
          <w:rFonts w:ascii="Tahoma" w:eastAsia="Times New Roman" w:hAnsi="Tahoma" w:cs="Tahoma"/>
          <w:b/>
          <w:bCs/>
          <w:color w:val="000000"/>
          <w:sz w:val="11"/>
          <w:lang w:eastAsia="ru-RU"/>
        </w:rPr>
        <w:t>субъекты малого и среднего предпринимательства.</w:t>
      </w:r>
      <w:r w:rsidRPr="00DF22D0">
        <w:rPr>
          <w:rFonts w:ascii="Tahoma" w:eastAsia="Times New Roman" w:hAnsi="Tahoma" w:cs="Tahoma"/>
          <w:color w:val="000000"/>
          <w:sz w:val="11"/>
          <w:szCs w:val="11"/>
          <w:lang w:eastAsia="ru-RU"/>
        </w:rPr>
        <w:t> Сегодня в районе работают 34 малых и средних предприятий, 364 индивидуальных предпринимателя, 209 самозанятых граждан.</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Благодаря введению налога на профессиональный доход, который уплачивают самозанятые, численность занятых в сфере малого и среднего предпринимательства, включая самозанятых граждан, увеличилась на 16 % и составила 1480 человек.</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Ситуация в сфере торговли и услуг уже 2 года формируется в условиях ограничительных мер, что сказывается на объемах розничной. В 2021 году объем товарооборота по крупным и средним организациям составляет 618,3 млн. рублей, индекс физического объема 99%, а объем общественного питания – на уровне 11,7 млн. рублей, индекс физического объема – 183%.</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потребительском рынке района работают более 200 предприятий розничной торговли, 5 общепита, 25 бытового обслуживания населения, 3 ярмарочных площадки для реализации товаров.</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регулярной основе проводится мониторинг цен на социально значимые продукты питания в торговой сети.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Наиболее значимым показателем уровня жизни населения является </w:t>
      </w:r>
      <w:r w:rsidRPr="00DF22D0">
        <w:rPr>
          <w:rFonts w:ascii="Tahoma" w:eastAsia="Times New Roman" w:hAnsi="Tahoma" w:cs="Tahoma"/>
          <w:b/>
          <w:bCs/>
          <w:color w:val="000000"/>
          <w:sz w:val="11"/>
          <w:lang w:eastAsia="ru-RU"/>
        </w:rPr>
        <w:t>уровень оплаты труда</w:t>
      </w:r>
      <w:r w:rsidRPr="00DF22D0">
        <w:rPr>
          <w:rFonts w:ascii="Tahoma" w:eastAsia="Times New Roman" w:hAnsi="Tahoma" w:cs="Tahoma"/>
          <w:color w:val="000000"/>
          <w:sz w:val="11"/>
          <w:szCs w:val="11"/>
          <w:lang w:eastAsia="ru-RU"/>
        </w:rPr>
        <w:t>. По итогам 2021 года по оперативным данным, средний размер заработной платы работников предприятий и организаций по полному кругу вырос к уровню 2020 года на 10 процентов и составил 34592 рубля.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Наибольший уровень средней заработной платы - в сельском хозяйстве – 46889 рублей, рост на 11 процентов, руководители сельхозпредприятий ежегодно обеспечивают высокие темпы роста заработной платы сотрудников.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как и в предыдущие годы в полностью обеспечено выполнение целевых показателей роста оплаты труда учителей, педагогических работников дошкольного и дополнительного образования детей, работников культуры, социальных и медицинских работников.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условиях распространения новой коронавирусной инфекции существенно изменилась </w:t>
      </w:r>
      <w:r w:rsidRPr="00DF22D0">
        <w:rPr>
          <w:rFonts w:ascii="Tahoma" w:eastAsia="Times New Roman" w:hAnsi="Tahoma" w:cs="Tahoma"/>
          <w:b/>
          <w:bCs/>
          <w:color w:val="000000"/>
          <w:sz w:val="11"/>
          <w:lang w:eastAsia="ru-RU"/>
        </w:rPr>
        <w:t>ситуация</w:t>
      </w:r>
      <w:r w:rsidRPr="00DF22D0">
        <w:rPr>
          <w:rFonts w:ascii="Tahoma" w:eastAsia="Times New Roman" w:hAnsi="Tahoma" w:cs="Tahoma"/>
          <w:color w:val="000000"/>
          <w:sz w:val="11"/>
          <w:szCs w:val="11"/>
          <w:lang w:eastAsia="ru-RU"/>
        </w:rPr>
        <w:t> </w:t>
      </w:r>
      <w:r w:rsidRPr="00DF22D0">
        <w:rPr>
          <w:rFonts w:ascii="Tahoma" w:eastAsia="Times New Roman" w:hAnsi="Tahoma" w:cs="Tahoma"/>
          <w:b/>
          <w:bCs/>
          <w:color w:val="000000"/>
          <w:sz w:val="11"/>
          <w:lang w:eastAsia="ru-RU"/>
        </w:rPr>
        <w:t>на</w:t>
      </w:r>
      <w:r w:rsidRPr="00DF22D0">
        <w:rPr>
          <w:rFonts w:ascii="Tahoma" w:eastAsia="Times New Roman" w:hAnsi="Tahoma" w:cs="Tahoma"/>
          <w:color w:val="000000"/>
          <w:sz w:val="11"/>
          <w:szCs w:val="11"/>
          <w:lang w:eastAsia="ru-RU"/>
        </w:rPr>
        <w:t> регистрируемом </w:t>
      </w:r>
      <w:r w:rsidRPr="00DF22D0">
        <w:rPr>
          <w:rFonts w:ascii="Tahoma" w:eastAsia="Times New Roman" w:hAnsi="Tahoma" w:cs="Tahoma"/>
          <w:b/>
          <w:bCs/>
          <w:color w:val="000000"/>
          <w:sz w:val="11"/>
          <w:lang w:eastAsia="ru-RU"/>
        </w:rPr>
        <w:t>рынке труда.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За отчетный период в центр занятости обратилось 356 человек (на 193 человека меньше уровня 2020 года), из них по содействию в поиске подходящей работы 346 человек, зарегистрировано в качестве безработных 230 человек или на 48 процентов меньше по сравнению с уровнем 2020 года, трудоустроено 251 человек, уровень трудоустройства составил 70%.</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Уровень регистрируемой безработицы составляет 0,64 %.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общественных работах приняли участие 17 человек, обеспечены временной работой 75 несовершеннолетних в возрасте от 14 до 18 лет. Профессиональное обучение или дополнительное профессиональное образование получили 13 безработных граждан, 2 женщины в период отпуска по уходу за ребенком в возрасте до 3-х лет, 1 незанятый пенсионер.</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устойчивое социально-экономическое развитие района напрямую влияет </w:t>
      </w:r>
      <w:r w:rsidRPr="00DF22D0">
        <w:rPr>
          <w:rFonts w:ascii="Tahoma" w:eastAsia="Times New Roman" w:hAnsi="Tahoma" w:cs="Tahoma"/>
          <w:b/>
          <w:bCs/>
          <w:color w:val="000000"/>
          <w:sz w:val="11"/>
          <w:lang w:eastAsia="ru-RU"/>
        </w:rPr>
        <w:t>привлечение инвестиций.</w:t>
      </w:r>
      <w:r w:rsidRPr="00DF22D0">
        <w:rPr>
          <w:rFonts w:ascii="Tahoma" w:eastAsia="Times New Roman" w:hAnsi="Tahoma" w:cs="Tahoma"/>
          <w:color w:val="000000"/>
          <w:sz w:val="11"/>
          <w:szCs w:val="11"/>
          <w:lang w:eastAsia="ru-RU"/>
        </w:rPr>
        <w:t> Это позволяет модернизировать производство, создавать новые рабочие места, строить новые дороги, развивать транспорт, благоустраивать общественные территории. Все это в итоге повышает качество жизни населения нашего района. Поэтому одной из главных задач, которая сегодня стоит перед Администрацией района, является привлечение максимальных инвестиций в различные сферы деятельности.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объем капиталовложений в экономику района составил 841 млн. рублей, это почти на 300 млн. рублей больше предыдущего года, из них 601,6 млн. рублей частные инвестиции. Анализ структуры инвестиций показал, что наибольшая доля инвестиций приходится на сельское хозяйство – это 478,6 млн. рублей. Средства направляются на модернизацию действующих производств, приобретение оборудования, сельскохозяйственной техники, затраты на формирование стада КРС. Инвестиции в промышленности составили 109,9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Бюджетные инвестиции составили 239,3 млн. рублей, в том числе на строительство дорог и объектов водоснабжения направлено 206,4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Обеспечение бесперебойного водоснабжения</w:t>
      </w:r>
      <w:r w:rsidRPr="00DF22D0">
        <w:rPr>
          <w:rFonts w:ascii="Tahoma" w:eastAsia="Times New Roman" w:hAnsi="Tahoma" w:cs="Tahoma"/>
          <w:color w:val="000000"/>
          <w:sz w:val="11"/>
          <w:szCs w:val="11"/>
          <w:lang w:eastAsia="ru-RU"/>
        </w:rPr>
        <w:t> жителей района является важнейшей стоящей перед нами задачей.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Объекты водоснабжения в сельских населенных пунктах обслуживаются АО «Курскоблводоканал». Процент износа водопроводных сетей составляет 60-75%.</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Администрацией района принимаются следующие меры по модернизации (реконструкции) объектов водоснабжения.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 2021 года ведутся строительные работы по объекту «Водоснабжение пос. Соколовка», водопроводные сети протяженностью 3,2 км, стоимостью 9,1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Продолжаются строительные работы 2-го и 3-го этапа по объекту «Водоснабжение с. Липовчик и д. Волжанец Волжанского сельсовета. Реконструкция», сети общей протяженностью 10,4 км. Первый этап строительства завершен в 2021 году, это переходящий объект на 2023 год. Заключен муниципальный контракт на сумму 18,4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Заключены соглашения о предоставлении субсидии из областного бюджета местному бюджету в рамках Государственной программы Курской области «Воспроизводство и использование природных ресурсов, охрана окружающей среды в Курской области» по следующим объектам:</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-Реконструкция системы водоснабжения п. Садовый Михайлоанненского сельсовета общей стоимостью 16,5 млн. рублей. Проектом предусмотрено строительство водозаборной скважины с обустройством зоны санитарной охраны, 2-х водонапорных башен и 2,4 км водопровода.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-Водоснабжение с. Крестище Мансуровского сельсовета. Реконструкция общей стоимостью 13,5 млн. рублей. Проектом предусмотрено строительство водозаборной скважины с обустройством зоны санитарной охраны, 2-х водонапорных башен и 3,1 км водопровода.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Разработана проектно-сметная документация по реконструкции систем водоснабжения д.Ефросимовка Верхнерагозецкого сельсовета и направлена на государственную экспертизу.</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Разработана проектно-сметная документация по реконструкции систем водоснабжения д.Грязноивановка Александровского сельсовета (2 этап), государственная экспертиза пройдена.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Формируется районный план мероприятий по проведению реконструкции (модернизации) объектов водоснабжения на период 2023-2025 годов.</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Проблемными вопросами остаются и состояние сетей водоснабжения и водоотведения населенных пунктов, обслуживаемых МУП «Кшенское».</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поселке Кшенский, д. 2-я Васильевка Нижнеграйворонского сельсовета, п. Коммунар Советского сельсовета объекты водоснабжения обслуживаются МУП «Кшенское». Процент износа водопроводных сетей по указанным населенным пунктам составляет от 70 до 80 %. Нарушена балансировка сетей водоснабжения, в связи с объединением существующих водозаборов.</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Для обеспечения населения поселка питьевой водой закончены работы по строительству объекта «Водозаборные сооружения и сети водоснабжения в пос. Кшенский 1-й этап строительства», стоимостью 13,4 млн. рублей. Построены водопроводные сети общей протяженностью 1,2 км, водопроводные колодцы 9 штук, три насосные станции, три скважины глубиной 44 метра, сети электроснабжения с щитом управления насосами и ограждение. По второму этапу подготовлены ПСД и скорректированы сметы.</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проведена замена водопроводных сетей по 5 улицам поселка Кшенский общей протяженностью 2,6 км, это улицы Октябрьская, 50 лет ВЛКСМ, Тельмана, Пролетарская, Чапаева.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Сети водоотведения п. Кшенский изношены на 90-100%, очистные сооружения отсутствуют; сточные воды через сети водоотведения АНО «Водоснабжение Советского сельсовета» подаются на поля фильтрации. На территории п. Кшенский расположены 2 КНС: на ул. Заводская и на ул.50 лет ВЛКСМ. КНС на ул.50 лет ВЛКСМ находится в аварийном состоянии, необходимо строительство новой.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Со времен постройки очистных сооружений к централизованной канализационной системе подключены ряд учреждений и жилых многоквартирных домов, а следовательно объем водоотведения увеличился в несколько раз, в связи с чем существующие очистные сооружения работают на предельной мощности. Кроме того, отсутствует возможность подключение новых абонентов к канализационной сети.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сегодняшний день нам необходимо принять решение о проведении работ по реконструкции действующих сооружений водоотведения или строительства новых.</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в полном объеме выполнен план по вводу жилья на территории района, введено 6679 кв. метров при плане 6671 кв. метров.</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отчетном году 8 молодых семей получили социальную выплату на приобретение жилья и улучшение жилищных условий с выделением денежных средств в размере 3,8 млн. рублей. В 2022 году еще 5 молодых семей получат выплату в сумме 2,76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Продолжаем </w:t>
      </w:r>
      <w:r w:rsidRPr="00DF22D0">
        <w:rPr>
          <w:rFonts w:ascii="Tahoma" w:eastAsia="Times New Roman" w:hAnsi="Tahoma" w:cs="Tahoma"/>
          <w:b/>
          <w:bCs/>
          <w:color w:val="000000"/>
          <w:sz w:val="11"/>
          <w:lang w:eastAsia="ru-RU"/>
        </w:rPr>
        <w:t>строить и ремонтировать автомобильные дороги.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произведен текущий ремонт 2,641 км дорог регионального значения на территории района ("Курск - Касторное" – 2,060 км, «Курск -Борисоглебск» - Кшенский - граница Липецкой области» - «Курск -Касторное» (участок км 0+000-км 0+581) – 0,581 км), общей стоимостью 39,4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отремонтированы 2 автомобильные дороги общего пользования местного значения протяженностью 1,392 км в районном центре поселок Кшенский по улицам Широкая и Заводская на общую сумму 28,3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завершено строительство двух автомобильных дорог местного значения в населенных пунктах района, начатых еще в 2020 году, это «Проезд по д. Натальино» и "Курск-Касторное-Ледовское-граница Орловской области-Верхнее Гурово", общей протяженностью 4,202 км, общая стоимость строительства – 51,4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Завершена разработка проектно-сметной документации по строительству 5-ти автомобильных дорог общей протяженностью 11,474 км - «Проезд по с. Грязное Александровского сельсовета», «Автодорога в с.Липовчик и д.Волжанец Волжанского сельсовета», «Проезд по с.Нижняя Грайворонка ул. Центральная Нижнеграйворонского сельсовета», «Автомобильная  дорога по д. Волжанец», «Подъезд к свеклопункту п.Кшенский от автомобильной дороги «Курск-Борисоглебск» - Кшенский-граница Липецкой области» и «Проезд по с. Петрово-Карцево».</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Разработка проектно-сметной документации в отношении автомобильных дорог «Проезд по пос. Расховецкий» протяженностью 0,568 км и «Реконструкция автомобильной дороги д. Волжанец – с. Мелехово км.0 – км.3,1» протяженностью – 3,06697 км находится в стадии завершения.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текущем году запланировано строительство двух автомобильных дорог общего пользования местного значения «Проезд по с. Петрово-Карцево» протяженностью - 2,08 км. и «Подъезд к свеклопункту п.Кшенский от автомобильной дороги «Курск-Борисоглебск» - Кшенский-граница Липецкой области», общей стоимостью строительства 79, 8 млн. рублей.  Решение этого вопроса напрямую будет зависеть от объема выделенных средств из регионального бюджета.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Также в 2022 году планируется отремонтировать дороги на 9 улицах п. Кшенский на общую сумму 65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поселке Кшенский запланирована замена фонарей уличного освещения, заключен контракт энерго лизинга на сумму 17,4 млн. рублей, работы по замене рассчитаны на 4 года, в 2021 году освоено 4,3 млн рублей на закупку оборудования, в 2022 году по контракту планируется освоить еще 4.3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 2018 года Советский район участвует в приоритетном проекте </w:t>
      </w:r>
      <w:r w:rsidRPr="00DF22D0">
        <w:rPr>
          <w:rFonts w:ascii="Tahoma" w:eastAsia="Times New Roman" w:hAnsi="Tahoma" w:cs="Tahoma"/>
          <w:b/>
          <w:bCs/>
          <w:color w:val="000000"/>
          <w:sz w:val="11"/>
          <w:lang w:eastAsia="ru-RU"/>
        </w:rPr>
        <w:t>«Формирование комфортной городской среды»</w:t>
      </w:r>
      <w:r w:rsidRPr="00DF22D0">
        <w:rPr>
          <w:rFonts w:ascii="Tahoma" w:eastAsia="Times New Roman" w:hAnsi="Tahoma" w:cs="Tahoma"/>
          <w:color w:val="000000"/>
          <w:sz w:val="11"/>
          <w:szCs w:val="11"/>
          <w:lang w:eastAsia="ru-RU"/>
        </w:rPr>
        <w:t>, основной целью данного проекта является благоустройство населенных пунктов с обязательным учетом мнений граждан. В нашем районе в данный проект вошли два муниципальных образования - «Поселок Кшенский» и «Волжанский сельсовет».</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их территории постепенно создаются уютные и комфортные общественные пространства, где приятно проводить время, гулять с детьми и заниматься спортом.</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lastRenderedPageBreak/>
        <w:t>В 2021 году в рамках реализации данного проекта в поселке Кшенский проведены работы по благоустройству общественной территории - пешеходной дороги по проспекту В.М. Клыкова от ул. Ленина, израсходовано 1,13 млн. рублей. Проведены работы по благоустройству дворовой территории по ул. Свердлова, д. 56 в п. Кшенский, стоимость работ 1,085 млн. рублей. За счет внебюджетного финансирования, а это порядка 5 млн. рублей, выполнены работы по установке памятника нашему земляку, народному художнику Российской Федерации Вячеславу Клыкову, также обновилась территория вокруг скульптуры: вырублены старые кустарники, уложено новое покрытие с подсветкой из природного камня, высажены молодые деревья.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Волжанском сельсовете благоустроена общественная территория - детская площадка на сумму 0,9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На территории Советского района в 2021 году также  установлено освещение региональных автомобильных дорог,  проходящих через населенные пункты, общей протяженностью 15,1 км, а именно : с. Расховец, с. Липовчик, д. Волжанец, пос. Кшенский, пос. Коммунар,   с.Дицево, д. Петровокарцево, пос. Садовый, д. 2-ая Васильевка, с. Нижняя Грайворонка, д. Натальино, пос. им. Пушкина.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2022 год запланировано благоустройство двух общественных территорий – сквер по ул.Заводская в п.Кшенский между многоквартирными домами №10, 12, 14 (1 этап) и сквер в д. Волжанец общей сметной стоимостью 2,1 млн. рублей, а так же благоустройство дворовой территории – ул.Чапаева, д.3 п. Кшенский на сумму –  0,96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Хотелось бы отметить также работу по обеспечению жителей района услугами </w:t>
      </w:r>
      <w:r w:rsidRPr="00DF22D0">
        <w:rPr>
          <w:rFonts w:ascii="Tahoma" w:eastAsia="Times New Roman" w:hAnsi="Tahoma" w:cs="Tahoma"/>
          <w:b/>
          <w:bCs/>
          <w:color w:val="000000"/>
          <w:sz w:val="11"/>
          <w:lang w:eastAsia="ru-RU"/>
        </w:rPr>
        <w:t>пассажирского транспорта.</w:t>
      </w:r>
      <w:r w:rsidRPr="00DF22D0">
        <w:rPr>
          <w:rFonts w:ascii="Tahoma" w:eastAsia="Times New Roman" w:hAnsi="Tahoma" w:cs="Tahoma"/>
          <w:color w:val="000000"/>
          <w:sz w:val="11"/>
          <w:szCs w:val="11"/>
          <w:lang w:eastAsia="ru-RU"/>
        </w:rPr>
        <w:t> Большая территория Советского района обуславливает значительную удаленность окраинных населенных пунктов от районного центра, расстояния достигают 40 км.</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Маршруты в отдаленные сельские населенные пункты являются убыточными по причине малого количества пассажиров. В этой связи из районного бюджета оказывается поддержка Кшенскому автотранспортному предприятию в виде предоставления субсидии на возмещение убытков на 10 обслуживаемых социально значимых внутрирайонных автобусных маршрутах, в 2021 году она составляла 2,25 млн. рублей. В 2022 году также планируем направить эту же сумму на возмещение убытков.</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Для решения насущных задач, нам приходится исходить из своих финансовых возможностей. Поэтому </w:t>
      </w:r>
      <w:r w:rsidRPr="00DF22D0">
        <w:rPr>
          <w:rFonts w:ascii="Tahoma" w:eastAsia="Times New Roman" w:hAnsi="Tahoma" w:cs="Tahoma"/>
          <w:b/>
          <w:bCs/>
          <w:color w:val="000000"/>
          <w:sz w:val="11"/>
          <w:lang w:eastAsia="ru-RU"/>
        </w:rPr>
        <w:t>увеличение собственной доходной части бюджета</w:t>
      </w:r>
      <w:r w:rsidRPr="00DF22D0">
        <w:rPr>
          <w:rFonts w:ascii="Tahoma" w:eastAsia="Times New Roman" w:hAnsi="Tahoma" w:cs="Tahoma"/>
          <w:color w:val="000000"/>
          <w:sz w:val="11"/>
          <w:szCs w:val="11"/>
          <w:lang w:eastAsia="ru-RU"/>
        </w:rPr>
        <w:t>, участие в областных и федеральных программах было и остаётся для Администрации Советского района первостепенным.</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Доходы бюджета муниципального района за 2021 год составили 627.5 млн рублей, что на 111 млн рублей больше, чем в прошлом году. Собственные доходы составили 207.0 млн рублей, рост к прошлому году на 16.7 процента. Расходы бюджета муниципального района составили 589.9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Бюджет района исполняется программным методом. На реализацию мероприятий муниципальных программ направлено 92.8 процента всех расходов бюджета муниципального района.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сфере расходов приоритетными являются социальные расходы, которые составили 76.8 процента бюджетных средств или 453 млн. рублей от общих расходов.</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Большая часть </w:t>
      </w:r>
      <w:r w:rsidRPr="00DF22D0">
        <w:rPr>
          <w:rFonts w:ascii="Tahoma" w:eastAsia="Times New Roman" w:hAnsi="Tahoma" w:cs="Tahoma"/>
          <w:b/>
          <w:bCs/>
          <w:color w:val="000000"/>
          <w:sz w:val="11"/>
          <w:lang w:eastAsia="ru-RU"/>
        </w:rPr>
        <w:t>закупок товаров, работ, услуг для муниципальных нужд</w:t>
      </w:r>
      <w:r w:rsidRPr="00DF22D0">
        <w:rPr>
          <w:rFonts w:ascii="Tahoma" w:eastAsia="Times New Roman" w:hAnsi="Tahoma" w:cs="Tahoma"/>
          <w:color w:val="000000"/>
          <w:sz w:val="11"/>
          <w:szCs w:val="11"/>
          <w:lang w:eastAsia="ru-RU"/>
        </w:rPr>
        <w:t> производится конкурентными способами определения поставщиков, тем самым обеспечивается прозрачность и доступность закупок.</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Администрацией района проведено 147 закупок на общую сумму 14,5 млн. рублей, из них 13 конкурентные процедуры (аукционы и конкурсы) собственными силами без участия специализированных организаций на сумму 10,5 млн. рублей. Экономия при проведении конкурентных процедур составила 16,6 тыс.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Особое внимание уделяется условиям, в которых учатся и воспитываются наши дети. На развитие </w:t>
      </w:r>
      <w:r w:rsidRPr="00DF22D0">
        <w:rPr>
          <w:rFonts w:ascii="Tahoma" w:eastAsia="Times New Roman" w:hAnsi="Tahoma" w:cs="Tahoma"/>
          <w:b/>
          <w:bCs/>
          <w:color w:val="000000"/>
          <w:sz w:val="11"/>
          <w:lang w:eastAsia="ru-RU"/>
        </w:rPr>
        <w:t>системы образования</w:t>
      </w:r>
      <w:r w:rsidRPr="00DF22D0">
        <w:rPr>
          <w:rFonts w:ascii="Tahoma" w:eastAsia="Times New Roman" w:hAnsi="Tahoma" w:cs="Tahoma"/>
          <w:color w:val="000000"/>
          <w:sz w:val="11"/>
          <w:szCs w:val="11"/>
          <w:lang w:eastAsia="ru-RU"/>
        </w:rPr>
        <w:t> в 2021 году направлено более 60 процентов бюджета муниципального района.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район продолжил реализацию регионального проекта "Успех каждого ребенка" национального проекта "Образование". Площадкой, где будет реализовываться целый ряд амбициозных планов, выбрана Советская средняя школа №2 имени Героя Советского Союза Ивана Дмитриевича Занина и Советская средняя школа №1. В рамках этого проекта в Советской средней школе №1 открыто 60 новых мест по технической направленности, потрачено 352,8 тыс. рублей; а в Советской средней школе №2 - 60 мест по естественно-научной направленности, израсходовано 249,3 тыс.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 2022 года в районе начнет реализовываться проект «Цифровая образовательная среда» национального проекта «Образование».</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Ведется работа по созданию условий для внедрения целевой модели цифровой образовательной среды в общеобразовательных организациях и к 2024 году планируется охватить 100 процентов образовательных организаций района.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сегодняшний день в 16 образовательных организациях проведен высокоскоростной Интернет, последней будет подключена Грязновская средняя школа в мае текущего года.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Одним из ключевых аспектов достижения целей и задач, поставленных перед системой образования, является обеспечение современных и комфортных условий обучения.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Так, в 2021 году в Волжанской средней школе имени Героя Социалистического Труда Василия Михайловича Репринцева по программе «Народный бюджет» завершена замена оконных блоков на общую сумму 1,1 млн. рублей. Также полностью заменены оконные блоки и в Нижнеграйворонской средней школе на сумму 1,9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Две общеобразовательные организации района включены в федеральную программу "Модернизация школьных систем образования», по которой в 2022 году будут капитально отремонтированы здания Советской средней общеобразовательной школы №2 имени Героя Советского Союза Ивана Дмитриевича Занина, сметная стоимость ремонта 125,8 млн. рублей и Волжанской средней общеобразовательной школы имени Героя Социалистического Труда Василия Михайловича Репринцева, сметная стоимость 70,0 млн. рублей. Решается вопрос о проведении дополнительных работ по благоустройству пришкольных территорий. Сметная стоимость составляет соответственно 6,3 млн. рублей и 16,0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Выпускники 9 и 11 классов Советского района успешно прошли государственную итоговую аттестацию и получили документ об уровне образования. Десять обучающихся 11 классов, претендующих на медали "За особые успехи в учении" подтвердили свои знания на Едином государственном экзамене и были награждены медалями.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региональном этапе Всероссийской Олимпиады  школьников  приняли участие 8 человек: Щербаков Захар, учащийся 9 класса  МКОУ «Советская средняя общеобразовательная школа №1» по биологии, стал  победителем, по экологии призером, Трубникова Виктория, учащаяся 11 класса МКОУ «Советская средняя общеобразовательная школа №1» по экологии стала победителем.</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целях реализации мероприятий персонифицированного финансирования с 1 января 2022 года учреждения дополнительного образования района переведены из казенных в бюджетные учреждения.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 целью массового внедрения Всероссийского физкультурно-спортивного комплекса «Готов к труду и обороне» на базе ФОК «Старт» действует центр тестирования по выполнению испытаний, нормативов, требований к оценке уровня знаний и умений в области физической культуры и спорта.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течение последних двух лет наши учащиеся являются активными участниками муниципального и регионального этапов зимнего и летнего Фестиваля ГТО.  В 2021 году 50 обучающихся получили золотые значки и 20 –серебряные, это на 35 процентов больше, чем в 2020 году.</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Ведется работа по реформированию системы школьного питания, целью которой является 100-процентное обеспечение детей полноценным двухразовым горячим питанием.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из районного бюджета выделено 4,1 млн. рублей и 0,6 млн. рублей из областного для обеспечения бесплатным питанием льготной категории обучающихся 5-11 классов, 5,3 млн. рублей - из разных уровней бюджетов для бесплатного питания 639-ти обучающихся 1-4 классов (или 100%).</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стоимость школьного питания в среднем составила 61 рубль.</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отчетном году за счет средств местного бюджета закупили школьную мебель для двух СОШ, на это было выделено 200 тыс.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Автобусный парк состоит из 12 школьных автобусов и постоянно пополняется за счет замены школьных автобусов, срок эксплуатации которых 10 лет. В 2021 году новые школьные автобусы взамен старых поставлены в Крестищенскую среднюю школу и Советскую среднюю школу № 1.</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сегодняшний день в условиях непростой ситуации в связи с новой коронавирусной инфекцией нашей главной задачей является сохранить жизнь и здоровье обучающихся и работников.</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целях минимизации рисков распространения COVID-19 в образовательных организациях установлены требования к особому режиму работы. На борьбу с COVID-19 выделено более 1 млн. рублей.  Закуплены в полном объеме необходимые средства гигиены, дезинфицирующие средства, дозаторы для антисептиков, бесконтактные термометры, рециркуляторы и другие приборы и средства.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Молодежь района</w:t>
      </w:r>
      <w:r w:rsidRPr="00DF22D0">
        <w:rPr>
          <w:rFonts w:ascii="Tahoma" w:eastAsia="Times New Roman" w:hAnsi="Tahoma" w:cs="Tahoma"/>
          <w:color w:val="000000"/>
          <w:sz w:val="11"/>
          <w:szCs w:val="11"/>
          <w:lang w:eastAsia="ru-RU"/>
        </w:rPr>
        <w:t> сегодня – это надежная опора во всех наших делах и начинаниях, способная на равных участвовать в социально-экономическом, политическом, культурном развитии района.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условиях пандемии коронавируса реализация молодежной политики в нашем районе тесно связана с развитием волонтёрского движения. У нас действуют 16 волонтерских объединений насчитывающих 196 человек. В эту деятельность активно привлекаем детей группы риска. Волонтеры на добровольных началах оказывают помощь пожилым, маломобильным гражданам, и медицинским сотрудникам во время пандемии, ухаживают за памятниками и захоронениями воинов, принимают участие в уборке территории храмов, посадке саженцев деревьев, оказывают помощь в благоустройстве помещений и приусадебного хозяйства, также волонтеры района приняли участие в акции «Бессмертный полк» в качестве операторов горячей линии.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У молодежи района при нашей поддержке есть все возможности раскрыть свой потенциал, проявить себя, как в районе, так и на областном уровне, а также отдохнуть и оздоровиться в загородных лагерях и санаториях области и за ее пределами.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организацию отдыха детей в каникулярное время в 2021 году было выделено из областного бюджета 642,8 тыс. рублей, из местного – 1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загородных стационарных оздоровительных лагерях отдохнули и оздоровились 74 несовершеннолетних, в том числе 33 ребенка, находящихся в трудной жизненной ситуации. В санаторно-курортных организациях Курской области отдохнули 39 несовершеннолетних, в том числе 10 детей, находящихся в трудной жизненной ситуации.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июне на базе 2-ух школ района функционировали летние лагеря с дневным пребыванием, охватили 357 детей, в том числе 126 детей, находящихся в трудной жизненной ситуации.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Действуют три юнармейских отряда, два военно-патриотических клуба - «Славяне» и «Русичи», клубное военно-патриотическое формирование «Дружина».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В 2021 году молодежь нашего района приняла активное участие в X областном творческом фестивале работающей молодежи «Юность России»,  областном патриотическом мероприятии «Поезд Победы», областном конкурсе лидеров и руководителей детских и молодежных общественных объединений «Лидер    XXI века»,  областном  Фестивале «Детство без границ», Акции «Курский характер», посвященной 78-летию Победы в Курской битве и Дню государственного флага и других.</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По итогам Всероссийского Фестиваля «Детство без границ» 2 участника Советского района заняли первое и второе место, а 20 участников отмечены дипломами областного Фестиваля (9 дипломов за I место, 5 - II место и 6 – III место).</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Спортсмены района приняли участие в чемпионате и первенстве города Курска по пауэрлифтингу, в муниципальном и региональном этапах Зимнего фестиваля ВФСК «ГТО», в областных финальных соревнованиях по лыжным гонкам, в Межмуниципальном турнире по плаванию и многих других мероприятиях.</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Выполнили нормативы испытаний комплекса ГТО – 11 детей, из них 69 золотых знаков, 36 серебряных и 6 бронзовых.</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Советский район вошел в число победителей регионального конкурса по оформлению помещений представительств Ресурсного центра добровольчества Курской области и в декабре 2021 года открыто представительство ресурсного центра добровольчества Курской области на базе Советского социально-аграрного техникума имени В.М. Клыкова.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b/>
          <w:bCs/>
          <w:color w:val="000000"/>
          <w:sz w:val="11"/>
          <w:lang w:eastAsia="ru-RU"/>
        </w:rPr>
        <w:t>Социальная защита населения.</w:t>
      </w:r>
      <w:r w:rsidRPr="00DF22D0">
        <w:rPr>
          <w:rFonts w:ascii="Tahoma" w:eastAsia="Times New Roman" w:hAnsi="Tahoma" w:cs="Tahoma"/>
          <w:color w:val="000000"/>
          <w:sz w:val="11"/>
          <w:szCs w:val="11"/>
          <w:lang w:eastAsia="ru-RU"/>
        </w:rPr>
        <w:t> Сегодня основная задача социальной защиты – это борьба с бедностью.</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Для этого в районе утвержден и реализуется План мероприятий, цель которого - обеспечение к 2024 году снижения в два раза доли населения с доходами ниже прожиточного минимума от общей численности населения района.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отделе социальной защиты населения сформирован и поддерживается в актуальном состоянии Реестр Бедные семьи. По состоянию на 31 декабря 2021 года в реестре зарегистрировано 865 семей, имеющих среднедушевой доход ниже величины прожиточного минимума, установленного в Курской области. Данные сведения используются при проведении мероприятий, направленных на сокращение уровня бедности населения района.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На учете состоит 2718 получателей мер социальной поддержки. За счет средств субвенций, поступивших в бюджет района, выплачены пособия на детей и другие денежные выплаты ветеранам труда, труженикам тыла, реабилитированным и репрессированным лицам, на общую сумму 52,0 млн. рублей. В том числе на ежемесячную денежную выплату на детей от трех до семи лет включительно - 41,6 млн. рублей. Данный вид пособия назначен 378 гражданам.</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 2021 года отделом социальной защиты населения осуществляется оказание государственной социальной помощи на основании социального контракта. Это новая мера социальной поддержки для семей и одиноко проживающих граждан, чей среднедушевой доход ниже величины прожиточного минимума, предусматривающая выплаты малоимущим гражданам при условии совершения ими действий, направленных на преодоление бедности. Результатом этих действий должно стать увеличение среднедушевого дохода семьи, социальная адаптация и преодоление сложившейся трудной жизненной ситуации.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Социальный контракт заключается на следующие мероприятия: это - поиск работы (заключено 14 соцконтрактов на сумму 0,6 млн. рублей), - осуществление индивидуальной предпринимательской деятельности (11 контрактов на сумму 2,8 млн. рублей), - развитие личных подсобных хозяйств (5 социальных контрактов на сумму 0,5 млн. рублей), по преодолению гражданином трудной жизненной ситуации (заключено 15 социальных контрактов на сумму 0,6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lastRenderedPageBreak/>
        <w:t>В число важнейших приоритетов нашей работы в области социальной сферы входит </w:t>
      </w:r>
      <w:r w:rsidRPr="00DF22D0">
        <w:rPr>
          <w:rFonts w:ascii="Tahoma" w:eastAsia="Times New Roman" w:hAnsi="Tahoma" w:cs="Tahoma"/>
          <w:b/>
          <w:bCs/>
          <w:color w:val="000000"/>
          <w:sz w:val="11"/>
          <w:lang w:eastAsia="ru-RU"/>
        </w:rPr>
        <w:t>обеспечение эффективной защиты детей, детей-сирот и детей, оставшихся без попечения родителей</w:t>
      </w:r>
      <w:r w:rsidRPr="00DF22D0">
        <w:rPr>
          <w:rFonts w:ascii="Tahoma" w:eastAsia="Times New Roman" w:hAnsi="Tahoma" w:cs="Tahoma"/>
          <w:color w:val="000000"/>
          <w:sz w:val="11"/>
          <w:szCs w:val="11"/>
          <w:lang w:eastAsia="ru-RU"/>
        </w:rPr>
        <w:t>, не обладающих возможностями самостоятельного решения социальных проблем.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конец 2021 года  в отделе опеки и попечительства состоит на учете 24 ребенка из числа детей-сирот и детей, оставшихся без попечения родителей, (5 детей-сирот, 14 детей, оставшихся без попечения родителей, 5 усыновленных), 3 переданных в семью по заявлению родителей.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выявлено и устроено 6 детей из категории детей-сирот и детей, оставшийся без попечения родителей. Выбор формы устройства ребенка определяется индивидуально, исходя из обстоятельств, состояния здоровья, черт характера и наличия родственников.</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Ведется учет граждан, признанных судом недееспособными, количество таких граждан составило 33 человека (24 гражданина проживают с опекунами, 9 – в социальном учреждении).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территории района на сегодняшний день построено 24 4-х квартирных дома, 96 квартир предоставлено для проживания гражданам из числа детей-сирот и детей, оставшихся без попечения родителей.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Сформирована база данных на семьи, попавшие в трудную жизненную ситуацию и социально-опасное положение, нуждающиеся в поддержке государства. Так, на 01.01.2022 года – количество таких семей составило 43. За каждой семьей закреплен куратор, с ними проводятся профилактические беседы, оказывается содействие в трудоустройстве, в лечении от алкогольной зависимости, оказывается гуманитарная помощь в виде канцелярских товаров, взрослой и детской одежды.</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Ограничение или лишение родительских прав является крайней мерой родительской ответственности, когда родители полностью устраняются от воспитания своих детей и заботы о них. С целью защиты прав несовершеннолетних в 2021 году были лишены родительских прав 7 граждан в отношении 18 детей, 16 детей прошли реабилитацию в социальных приютах области.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Советский район ежегодно участвует в благотворительном марафоне «Мир детства», целью которого является сбор благотворительной помощи, оказание адресной помощи детям и семьям, нуждающимся в социальной поддержке. В 2021 году организациями и предприятиями, жителями Советского района было собрано и перечислено 112,7 тыс. рублей. Из средств благотворительного марафона оказана адресная материальная помощь 2 семьям нашего района, оказавшимся в трудной жизненной ситуации, на сумму 85 тыс.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Как известно, одним из ориентиров сохранения и укрепления здоровья является </w:t>
      </w:r>
      <w:r w:rsidRPr="00DF22D0">
        <w:rPr>
          <w:rFonts w:ascii="Tahoma" w:eastAsia="Times New Roman" w:hAnsi="Tahoma" w:cs="Tahoma"/>
          <w:b/>
          <w:bCs/>
          <w:color w:val="000000"/>
          <w:sz w:val="11"/>
          <w:lang w:eastAsia="ru-RU"/>
        </w:rPr>
        <w:t>спорт.</w:t>
      </w:r>
      <w:r w:rsidRPr="00DF22D0">
        <w:rPr>
          <w:rFonts w:ascii="Tahoma" w:eastAsia="Times New Roman" w:hAnsi="Tahoma" w:cs="Tahoma"/>
          <w:color w:val="000000"/>
          <w:sz w:val="11"/>
          <w:szCs w:val="11"/>
          <w:lang w:eastAsia="ru-RU"/>
        </w:rPr>
        <w:t> Поэтому мы работаем над тем, чтобы все жители района имели комфортные условия для занятий спортом и здорового досуга.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Доля населения, систематически занимающихся физической культурой и спортом, в 2021 году составила 49,6 процента.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районе действует Межрайонный физкультурно-оздоровительный комплекс «Старт» с плавательным бассейном, построенный по федеральной программе «Газпром-детям». Он стал одним из любимых мест кшенцев, является украшением поселка и еще одной достопримечательностью нашего района. На его базе проводятся различные спортивные мероприятия межрайонного и областного уровня.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началось строительство ФОКОТа в д.Волжанец с завершением работ в 2022 году.</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Учреждения </w:t>
      </w:r>
      <w:r w:rsidRPr="00DF22D0">
        <w:rPr>
          <w:rFonts w:ascii="Tahoma" w:eastAsia="Times New Roman" w:hAnsi="Tahoma" w:cs="Tahoma"/>
          <w:b/>
          <w:bCs/>
          <w:color w:val="000000"/>
          <w:sz w:val="11"/>
          <w:lang w:eastAsia="ru-RU"/>
        </w:rPr>
        <w:t>культуры</w:t>
      </w:r>
      <w:r w:rsidRPr="00DF22D0">
        <w:rPr>
          <w:rFonts w:ascii="Tahoma" w:eastAsia="Times New Roman" w:hAnsi="Tahoma" w:cs="Tahoma"/>
          <w:color w:val="000000"/>
          <w:sz w:val="11"/>
          <w:szCs w:val="11"/>
          <w:lang w:eastAsia="ru-RU"/>
        </w:rPr>
        <w:t> работали в условиях ограничительных мероприятий, нам еще в 2020 году пришлось пересмотреть формат работы, чтобы не допускать распространения инфекции.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Таким образом произошло расширение информационно-коммуникационных направлений деятельности – это проведение вебинаров, различных мероприятий в онлайн-режиме.</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Сеть культурно-досуговых учреждений района в 2021 году составляла 27 ед., из них 25 сельских Домов культуры и клубов. Деятельность 2-х сельских клубов была приостановлена -МКУК «Сельский клуб-филиал п. Садовый», МКУК «Грязновский сельский/клуб-филиал».</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За отчетный период клубными учреждениями района проведено всего 2784 разнообразных по своей форме и содержанию культурно-массовых мероприятий, которые посетили 58945 человек.</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учреждениях культурно – досугового типа действуют 206 клубных формирований  самодеятельного творчества с количеством участников в них 2532 человека, из них 70 - для детей, в которых занимаются 911 человек, 72 – для молодежи с количеством участников 888 человек.</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По итогам года учреждения культуры стали лауреатами целого ряда всероссийских, областных и районных конкурсов и фестивалей.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рамках реализации федеральной программы «Местный дом культуры» в отчетном году приобретено световое оборудование для «Советского ДНТ, звуковое и световое оборудование, одежда сцены, костюмы для Дома культуры поселка Кшенский, Мармыжанского ЦСДК, Верхнерагозецкого ЦСДК, Краснодолинского ЦСДК, на эти цели потрачено 2,3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За счет средств местного бюджета приобретены два комплекта костюмов -12 хороводных и 14 плясовых, для хореографического коллектива «Серпантин», израсходовано 280 тыс.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в рамках реализации проекта «Народный бюджет» была проведена работа по благоустройству прилегающей территории Советского ДНТ (1 очередь) на сумму 2,6 млн. рублей. На 2022 год запланирована 2 очередь благоустройства на сумму 1,4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рамках нацпроекта «Культура» в текущем году будет приобретен передвижной автоклуб на сумму 5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районе действует 22 киноустановки, 21 из них на селе. В 2021 году было проведено 1513 киносеансов, их посетило 29464 зрителя.</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 материально-техническую базу Советскому центру досуга и кино "Восток" в отчётном году было выделено 304 тыс. рублей, приобрели мебель, оргтехнику, акустическую систему.</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рамках реализации проекта «Народный бюджет» в 2022 году запланирован капитальный ремонт здания Советского центра досуга и кино "Восток". Стоимость 1 этапа составляет 3,4 млн. рублей.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Библиотечная сеть района сохранена в полном объеме. Действуют 22 библиотеки, 56 процентов от общего числа жителей района охвачено библиотечным обслуживанием. В отчетном году открыта десятая модельная библиотека (Верхнеапоченская сельская библиотека).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Главные события в библиотечной жизни района определялись приоритетными направлениями в жизни страны, 2021 год был объявлен Годом науки и технологий. Библиотеки района рассказали о людях науки, нанотехнологиях и других достижениях в области науки.</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2021 год – это год 80-летия со дня начала Великой Отечественной войны. Наши библиотеки объединили мероприятия по патриотическому воспитанию в цикл «Была война», а также приняли участие во Всероссийских акциях «Блокадный хлеб», «Бессмертный полк», Свеча памяти» и других.</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Имеется проектно-сметная документация по капитальному ремонту кровли здания межпоселенческой библиотеки для участия в проекте «Народный бюджет».</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Работаем и над повышением </w:t>
      </w:r>
      <w:r w:rsidRPr="00DF22D0">
        <w:rPr>
          <w:rFonts w:ascii="Tahoma" w:eastAsia="Times New Roman" w:hAnsi="Tahoma" w:cs="Tahoma"/>
          <w:b/>
          <w:bCs/>
          <w:color w:val="000000"/>
          <w:sz w:val="11"/>
          <w:lang w:eastAsia="ru-RU"/>
        </w:rPr>
        <w:t>качества и доступности государственных и муниципальных услуг.</w:t>
      </w:r>
      <w:r w:rsidRPr="00DF22D0">
        <w:rPr>
          <w:rFonts w:ascii="Tahoma" w:eastAsia="Times New Roman" w:hAnsi="Tahoma" w:cs="Tahoma"/>
          <w:color w:val="000000"/>
          <w:sz w:val="11"/>
          <w:szCs w:val="11"/>
          <w:lang w:eastAsia="ru-RU"/>
        </w:rPr>
        <w:t> В 2021 году наши специалисты предоставили свыше 92 процентов услуг в электронном виде. Это хороший показатель, который достигнут не только из-за пандемии, но и по причине того, что граждане всё более стали ценить возможности портала Государственных и муниципальных услуг.</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Выполнены необходимые показатели и по предоставлению услуг через МФЦ. Ежемесячно более 90 процентов государственных и муниципальных услуг оказывается филиалом ОБУ «МФЦ».</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 2021 году зарегистрировано 675 актовых записей. Это рождение, заключение брака, установление отцовства, перемена имени, расторжение брака.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Родилось 109 детей. К сожалению, возросло количество смертей, составлено 413 актовых записей о смерти, что на 42 записи больше предыдущего года.</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Увеличилось количество разводов с 74 в 2020 году до 77 в 2021. Заключили брак 64 пары (в 2020 - 66).</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Администрацией района обеспечивается сохранность документов, комплектование фондов, использование архивных документов. В 2021 году специалистами архива проводилась работа по исполнению на основе архивных документов тематических и социально-правовых запросов, поступивших от физических и юридических лиц. За отчетный 2021 год исполнено в установленном законодательством сроки 707 запросов, в том числе 670 запросов социально-правового характера и 37 тематических.</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Наглядным и точным показателем настроения в обществе, индикатором доверия к власти являются обращения граждан. Внимательное отношение к обращениям граждан является важнейшей задачей.</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За 2021 год в Администрацию Советского района и Администрации сельских поселений поступило 447 обращений (количество вопросов в обращениях- 509), в том числе в письменной форме – 241 обращение, устно – 206 обращений.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По характеру обращения распределились следующим образом:</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1-экономика – 194 обращения (43,4%)</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2-жилищно-коммунальная сфера – 152 обращения (34%)</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3-государство, общество, политика – 44 обращения (9,8%)</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4-социальная сфера – 39 обращений (8,7%)</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5-оборона, безопасность, законность – 18 обращений (4%).</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Неизменно остается достаточно высоким количество обращений граждан по вопросам благоустройства и ремонта подъездных дорог, в том числе тротуаров, о восстановлении водоснабжения, уборке снега, мусора, уличному освещению, земельным спорам.</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Пандемия коронавируса внесла определенные коррективы во все сферы жизни нашей страны, в том числе и сферу работы с обращениями. В связи с этим выездные приемы Главой района не проводились.</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Все обращения были рассматриваются в установленные законом сроки, по каждому из них выясняются все обстоятельства, при необходимости организуется выезд к заявителю, проводятся беседы, даются различные разъяснения и только после всей этой проведенной работы дается обоснованный ответ.</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 </w:t>
      </w:r>
    </w:p>
    <w:p w:rsidR="00DF22D0" w:rsidRPr="00DF22D0" w:rsidRDefault="00DF22D0" w:rsidP="00DF22D0">
      <w:pPr>
        <w:shd w:val="clear" w:color="auto" w:fill="EEEEEE"/>
        <w:spacing w:after="0" w:line="240" w:lineRule="auto"/>
        <w:jc w:val="both"/>
        <w:rPr>
          <w:rFonts w:ascii="Tahoma" w:eastAsia="Times New Roman" w:hAnsi="Tahoma" w:cs="Tahoma"/>
          <w:color w:val="000000"/>
          <w:sz w:val="11"/>
          <w:szCs w:val="11"/>
          <w:lang w:eastAsia="ru-RU"/>
        </w:rPr>
      </w:pPr>
      <w:r w:rsidRPr="00DF22D0">
        <w:rPr>
          <w:rFonts w:ascii="Tahoma" w:eastAsia="Times New Roman" w:hAnsi="Tahoma" w:cs="Tahoma"/>
          <w:color w:val="000000"/>
          <w:sz w:val="11"/>
          <w:szCs w:val="11"/>
          <w:lang w:eastAsia="ru-RU"/>
        </w:rPr>
        <w:t>Глава Советского района                                                       В.М. Жилинков</w:t>
      </w:r>
    </w:p>
    <w:p w:rsidR="00D847F3" w:rsidRPr="00DF22D0" w:rsidRDefault="00D847F3" w:rsidP="00DF22D0"/>
    <w:sectPr w:rsidR="00D847F3" w:rsidRPr="00DF22D0"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C15"/>
    <w:multiLevelType w:val="multilevel"/>
    <w:tmpl w:val="F8F4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53225"/>
    <w:multiLevelType w:val="multilevel"/>
    <w:tmpl w:val="F81E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B68F6"/>
    <w:multiLevelType w:val="multilevel"/>
    <w:tmpl w:val="08BE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27147"/>
    <w:multiLevelType w:val="multilevel"/>
    <w:tmpl w:val="136C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C013C3"/>
    <w:multiLevelType w:val="multilevel"/>
    <w:tmpl w:val="A71ED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2618BF"/>
    <w:multiLevelType w:val="multilevel"/>
    <w:tmpl w:val="34C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C26C54"/>
    <w:multiLevelType w:val="multilevel"/>
    <w:tmpl w:val="5A3E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000D3F"/>
    <w:multiLevelType w:val="multilevel"/>
    <w:tmpl w:val="DC56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ED4348"/>
    <w:multiLevelType w:val="multilevel"/>
    <w:tmpl w:val="D8C6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146351"/>
    <w:multiLevelType w:val="multilevel"/>
    <w:tmpl w:val="BAA4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2E0914"/>
    <w:multiLevelType w:val="multilevel"/>
    <w:tmpl w:val="F4E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3A1B40"/>
    <w:multiLevelType w:val="multilevel"/>
    <w:tmpl w:val="461E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C44A33"/>
    <w:multiLevelType w:val="multilevel"/>
    <w:tmpl w:val="AF5E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E44582"/>
    <w:multiLevelType w:val="multilevel"/>
    <w:tmpl w:val="9844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208A6"/>
    <w:multiLevelType w:val="multilevel"/>
    <w:tmpl w:val="D85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D875CA"/>
    <w:multiLevelType w:val="multilevel"/>
    <w:tmpl w:val="2760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E16944"/>
    <w:multiLevelType w:val="multilevel"/>
    <w:tmpl w:val="4170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042FEE"/>
    <w:multiLevelType w:val="multilevel"/>
    <w:tmpl w:val="DE0A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BF6C64"/>
    <w:multiLevelType w:val="multilevel"/>
    <w:tmpl w:val="224E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DD65EA"/>
    <w:multiLevelType w:val="multilevel"/>
    <w:tmpl w:val="3120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5316F2"/>
    <w:multiLevelType w:val="multilevel"/>
    <w:tmpl w:val="027C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41343D"/>
    <w:multiLevelType w:val="multilevel"/>
    <w:tmpl w:val="6AA0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BB4AF1"/>
    <w:multiLevelType w:val="multilevel"/>
    <w:tmpl w:val="8A8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EF0219"/>
    <w:multiLevelType w:val="multilevel"/>
    <w:tmpl w:val="5F9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A14657"/>
    <w:multiLevelType w:val="multilevel"/>
    <w:tmpl w:val="8C70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FE40D3"/>
    <w:multiLevelType w:val="multilevel"/>
    <w:tmpl w:val="4D06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B40689"/>
    <w:multiLevelType w:val="multilevel"/>
    <w:tmpl w:val="D550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2E5026"/>
    <w:multiLevelType w:val="multilevel"/>
    <w:tmpl w:val="235A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EF783E"/>
    <w:multiLevelType w:val="multilevel"/>
    <w:tmpl w:val="4EF6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9E61C9"/>
    <w:multiLevelType w:val="multilevel"/>
    <w:tmpl w:val="3AA0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2"/>
  </w:num>
  <w:num w:numId="3">
    <w:abstractNumId w:val="17"/>
  </w:num>
  <w:num w:numId="4">
    <w:abstractNumId w:val="24"/>
  </w:num>
  <w:num w:numId="5">
    <w:abstractNumId w:val="20"/>
  </w:num>
  <w:num w:numId="6">
    <w:abstractNumId w:val="14"/>
  </w:num>
  <w:num w:numId="7">
    <w:abstractNumId w:val="0"/>
  </w:num>
  <w:num w:numId="8">
    <w:abstractNumId w:val="26"/>
  </w:num>
  <w:num w:numId="9">
    <w:abstractNumId w:val="25"/>
  </w:num>
  <w:num w:numId="10">
    <w:abstractNumId w:val="10"/>
  </w:num>
  <w:num w:numId="11">
    <w:abstractNumId w:val="9"/>
  </w:num>
  <w:num w:numId="12">
    <w:abstractNumId w:val="27"/>
  </w:num>
  <w:num w:numId="13">
    <w:abstractNumId w:val="16"/>
  </w:num>
  <w:num w:numId="14">
    <w:abstractNumId w:val="8"/>
  </w:num>
  <w:num w:numId="15">
    <w:abstractNumId w:val="1"/>
  </w:num>
  <w:num w:numId="16">
    <w:abstractNumId w:val="18"/>
  </w:num>
  <w:num w:numId="17">
    <w:abstractNumId w:val="5"/>
  </w:num>
  <w:num w:numId="18">
    <w:abstractNumId w:val="21"/>
  </w:num>
  <w:num w:numId="19">
    <w:abstractNumId w:val="28"/>
  </w:num>
  <w:num w:numId="20">
    <w:abstractNumId w:val="2"/>
  </w:num>
  <w:num w:numId="21">
    <w:abstractNumId w:val="12"/>
  </w:num>
  <w:num w:numId="22">
    <w:abstractNumId w:val="29"/>
  </w:num>
  <w:num w:numId="23">
    <w:abstractNumId w:val="19"/>
  </w:num>
  <w:num w:numId="24">
    <w:abstractNumId w:val="13"/>
  </w:num>
  <w:num w:numId="25">
    <w:abstractNumId w:val="23"/>
  </w:num>
  <w:num w:numId="26">
    <w:abstractNumId w:val="4"/>
  </w:num>
  <w:num w:numId="27">
    <w:abstractNumId w:val="15"/>
  </w:num>
  <w:num w:numId="28">
    <w:abstractNumId w:val="30"/>
  </w:num>
  <w:num w:numId="29">
    <w:abstractNumId w:val="34"/>
  </w:num>
  <w:num w:numId="30">
    <w:abstractNumId w:val="7"/>
  </w:num>
  <w:num w:numId="31">
    <w:abstractNumId w:val="11"/>
  </w:num>
  <w:num w:numId="32">
    <w:abstractNumId w:val="6"/>
  </w:num>
  <w:num w:numId="33">
    <w:abstractNumId w:val="33"/>
  </w:num>
  <w:num w:numId="34">
    <w:abstractNumId w:val="31"/>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31C6"/>
    <w:rsid w:val="0002740E"/>
    <w:rsid w:val="000400B1"/>
    <w:rsid w:val="00041E2F"/>
    <w:rsid w:val="00045E99"/>
    <w:rsid w:val="00050973"/>
    <w:rsid w:val="00064C80"/>
    <w:rsid w:val="0007655C"/>
    <w:rsid w:val="000768F1"/>
    <w:rsid w:val="00092447"/>
    <w:rsid w:val="000A0BFC"/>
    <w:rsid w:val="000B421D"/>
    <w:rsid w:val="000D1844"/>
    <w:rsid w:val="000D4149"/>
    <w:rsid w:val="000E30D6"/>
    <w:rsid w:val="000E6F31"/>
    <w:rsid w:val="001010AB"/>
    <w:rsid w:val="00112133"/>
    <w:rsid w:val="001250BB"/>
    <w:rsid w:val="00125274"/>
    <w:rsid w:val="0015015C"/>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6529B"/>
    <w:rsid w:val="00265BCA"/>
    <w:rsid w:val="00266637"/>
    <w:rsid w:val="0029178B"/>
    <w:rsid w:val="002B1509"/>
    <w:rsid w:val="002C6FA1"/>
    <w:rsid w:val="002C7E81"/>
    <w:rsid w:val="002D722D"/>
    <w:rsid w:val="002E0350"/>
    <w:rsid w:val="002E1553"/>
    <w:rsid w:val="002E6090"/>
    <w:rsid w:val="002F3249"/>
    <w:rsid w:val="0030799E"/>
    <w:rsid w:val="00311AB0"/>
    <w:rsid w:val="003238A1"/>
    <w:rsid w:val="003351CA"/>
    <w:rsid w:val="003524A6"/>
    <w:rsid w:val="00391402"/>
    <w:rsid w:val="003932CC"/>
    <w:rsid w:val="003946E0"/>
    <w:rsid w:val="003C0004"/>
    <w:rsid w:val="003C4887"/>
    <w:rsid w:val="003F74E8"/>
    <w:rsid w:val="004010B5"/>
    <w:rsid w:val="00412D32"/>
    <w:rsid w:val="00415E5F"/>
    <w:rsid w:val="00422242"/>
    <w:rsid w:val="00423EF0"/>
    <w:rsid w:val="004337DB"/>
    <w:rsid w:val="0043747D"/>
    <w:rsid w:val="00475C76"/>
    <w:rsid w:val="00480DC9"/>
    <w:rsid w:val="00480F0C"/>
    <w:rsid w:val="0048413D"/>
    <w:rsid w:val="00494147"/>
    <w:rsid w:val="00497D3A"/>
    <w:rsid w:val="004A40B0"/>
    <w:rsid w:val="004B77D4"/>
    <w:rsid w:val="004C3478"/>
    <w:rsid w:val="004E3183"/>
    <w:rsid w:val="004F0E10"/>
    <w:rsid w:val="004F4258"/>
    <w:rsid w:val="005136DE"/>
    <w:rsid w:val="00521E13"/>
    <w:rsid w:val="00522860"/>
    <w:rsid w:val="00530602"/>
    <w:rsid w:val="00530DDB"/>
    <w:rsid w:val="00535431"/>
    <w:rsid w:val="005459FB"/>
    <w:rsid w:val="005523C3"/>
    <w:rsid w:val="0055385A"/>
    <w:rsid w:val="005600B4"/>
    <w:rsid w:val="00564A0C"/>
    <w:rsid w:val="00572965"/>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564D3"/>
    <w:rsid w:val="006618D4"/>
    <w:rsid w:val="00666918"/>
    <w:rsid w:val="00667721"/>
    <w:rsid w:val="00673854"/>
    <w:rsid w:val="00686353"/>
    <w:rsid w:val="00694736"/>
    <w:rsid w:val="00697F7F"/>
    <w:rsid w:val="006A5255"/>
    <w:rsid w:val="006B215E"/>
    <w:rsid w:val="006B29DA"/>
    <w:rsid w:val="006B652A"/>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724A7"/>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23198"/>
    <w:rsid w:val="009247A7"/>
    <w:rsid w:val="00931EB9"/>
    <w:rsid w:val="009379EE"/>
    <w:rsid w:val="00942DA2"/>
    <w:rsid w:val="00982ABB"/>
    <w:rsid w:val="009A05D7"/>
    <w:rsid w:val="009A6FE8"/>
    <w:rsid w:val="009B216F"/>
    <w:rsid w:val="009C4AB3"/>
    <w:rsid w:val="009D49AD"/>
    <w:rsid w:val="009E032C"/>
    <w:rsid w:val="009F3C35"/>
    <w:rsid w:val="00A04DD2"/>
    <w:rsid w:val="00A107F5"/>
    <w:rsid w:val="00A20418"/>
    <w:rsid w:val="00A20754"/>
    <w:rsid w:val="00A32637"/>
    <w:rsid w:val="00A356D9"/>
    <w:rsid w:val="00A37DDE"/>
    <w:rsid w:val="00A43322"/>
    <w:rsid w:val="00A534A4"/>
    <w:rsid w:val="00A5700A"/>
    <w:rsid w:val="00A60107"/>
    <w:rsid w:val="00A819D8"/>
    <w:rsid w:val="00A81DDF"/>
    <w:rsid w:val="00A8468B"/>
    <w:rsid w:val="00A9056E"/>
    <w:rsid w:val="00AA6E44"/>
    <w:rsid w:val="00AB0A39"/>
    <w:rsid w:val="00AB1FAB"/>
    <w:rsid w:val="00AB4811"/>
    <w:rsid w:val="00AB7265"/>
    <w:rsid w:val="00AC770F"/>
    <w:rsid w:val="00AF7AF1"/>
    <w:rsid w:val="00B022E4"/>
    <w:rsid w:val="00B30588"/>
    <w:rsid w:val="00B41713"/>
    <w:rsid w:val="00B43FDD"/>
    <w:rsid w:val="00B507EA"/>
    <w:rsid w:val="00B5107D"/>
    <w:rsid w:val="00B56650"/>
    <w:rsid w:val="00B56CB5"/>
    <w:rsid w:val="00B65DE1"/>
    <w:rsid w:val="00B8399F"/>
    <w:rsid w:val="00B9785C"/>
    <w:rsid w:val="00BA3F31"/>
    <w:rsid w:val="00BB51D0"/>
    <w:rsid w:val="00BB72ED"/>
    <w:rsid w:val="00BC555A"/>
    <w:rsid w:val="00BD1FA4"/>
    <w:rsid w:val="00BD6446"/>
    <w:rsid w:val="00BD7FF1"/>
    <w:rsid w:val="00C0499C"/>
    <w:rsid w:val="00C04FBB"/>
    <w:rsid w:val="00C20D27"/>
    <w:rsid w:val="00C3103B"/>
    <w:rsid w:val="00C35862"/>
    <w:rsid w:val="00C41CB9"/>
    <w:rsid w:val="00C45F4E"/>
    <w:rsid w:val="00C76932"/>
    <w:rsid w:val="00C77873"/>
    <w:rsid w:val="00C85F67"/>
    <w:rsid w:val="00CA433E"/>
    <w:rsid w:val="00CB4920"/>
    <w:rsid w:val="00CB7143"/>
    <w:rsid w:val="00CC5F35"/>
    <w:rsid w:val="00CD7351"/>
    <w:rsid w:val="00CD7CC4"/>
    <w:rsid w:val="00CE5D0E"/>
    <w:rsid w:val="00CE7A19"/>
    <w:rsid w:val="00CF5475"/>
    <w:rsid w:val="00D12290"/>
    <w:rsid w:val="00D14834"/>
    <w:rsid w:val="00D1649A"/>
    <w:rsid w:val="00D16A3F"/>
    <w:rsid w:val="00D17CBA"/>
    <w:rsid w:val="00D24F9A"/>
    <w:rsid w:val="00D341A8"/>
    <w:rsid w:val="00D40A4E"/>
    <w:rsid w:val="00D46938"/>
    <w:rsid w:val="00D46CAF"/>
    <w:rsid w:val="00D739B8"/>
    <w:rsid w:val="00D76A39"/>
    <w:rsid w:val="00D847F3"/>
    <w:rsid w:val="00D970F1"/>
    <w:rsid w:val="00DA15F3"/>
    <w:rsid w:val="00DA3636"/>
    <w:rsid w:val="00DA4364"/>
    <w:rsid w:val="00DB6CF7"/>
    <w:rsid w:val="00DF22D0"/>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EF9"/>
    <w:rsid w:val="00E62ABA"/>
    <w:rsid w:val="00E702BD"/>
    <w:rsid w:val="00E9336C"/>
    <w:rsid w:val="00E97C54"/>
    <w:rsid w:val="00EA07D9"/>
    <w:rsid w:val="00EA49C7"/>
    <w:rsid w:val="00EA6AC0"/>
    <w:rsid w:val="00EB416D"/>
    <w:rsid w:val="00EB7599"/>
    <w:rsid w:val="00EC73F7"/>
    <w:rsid w:val="00EE7C81"/>
    <w:rsid w:val="00EF2C08"/>
    <w:rsid w:val="00F01347"/>
    <w:rsid w:val="00F0665F"/>
    <w:rsid w:val="00F17E89"/>
    <w:rsid w:val="00F30601"/>
    <w:rsid w:val="00F31A82"/>
    <w:rsid w:val="00F50FA4"/>
    <w:rsid w:val="00F51DFB"/>
    <w:rsid w:val="00F63CE7"/>
    <w:rsid w:val="00F64661"/>
    <w:rsid w:val="00F66AA4"/>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7152</Words>
  <Characters>40771</Characters>
  <Application>Microsoft Office Word</Application>
  <DocSecurity>0</DocSecurity>
  <Lines>339</Lines>
  <Paragraphs>95</Paragraphs>
  <ScaleCrop>false</ScaleCrop>
  <Company/>
  <LinksUpToDate>false</LinksUpToDate>
  <CharactersWithSpaces>47828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303</cp:revision>
  <dcterms:created xsi:type="dcterms:W3CDTF">2023-09-07T13:12:00Z</dcterms:created>
  <dcterms:modified xsi:type="dcterms:W3CDTF">2023-09-08T17:42:00Z</dcterms:modified>
</cp:coreProperties>
</file>