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13" w:rsidRDefault="00F52113" w:rsidP="00F52113">
      <w:pPr>
        <w:pStyle w:val="a3"/>
        <w:shd w:val="clear" w:color="auto" w:fill="EEEEEE"/>
        <w:spacing w:before="0" w:beforeAutospacing="0" w:after="0" w:afterAutospacing="0"/>
        <w:jc w:val="center"/>
        <w:rPr>
          <w:rFonts w:ascii="Tahoma" w:hAnsi="Tahoma" w:cs="Tahoma"/>
          <w:color w:val="000000"/>
          <w:sz w:val="14"/>
          <w:szCs w:val="14"/>
        </w:rPr>
      </w:pPr>
      <w:r>
        <w:rPr>
          <w:rFonts w:ascii="Tahoma" w:hAnsi="Tahoma" w:cs="Tahoma"/>
          <w:b/>
          <w:bCs/>
          <w:color w:val="000000"/>
          <w:sz w:val="14"/>
          <w:szCs w:val="14"/>
        </w:rPr>
        <w:br/>
      </w: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center"/>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F52113" w:rsidRDefault="00F52113" w:rsidP="00F52113">
      <w:pPr>
        <w:pStyle w:val="a3"/>
        <w:shd w:val="clear" w:color="auto" w:fill="EEEEEE"/>
        <w:spacing w:before="0" w:beforeAutospacing="0" w:after="0" w:afterAutospacing="0"/>
        <w:jc w:val="center"/>
        <w:rPr>
          <w:rFonts w:ascii="Tahoma" w:hAnsi="Tahoma" w:cs="Tahoma"/>
          <w:color w:val="000000"/>
          <w:sz w:val="14"/>
          <w:szCs w:val="14"/>
        </w:rPr>
      </w:pPr>
      <w:r>
        <w:rPr>
          <w:rStyle w:val="a4"/>
          <w:rFonts w:ascii="Tahoma" w:hAnsi="Tahoma" w:cs="Tahoma"/>
          <w:color w:val="000000"/>
          <w:sz w:val="14"/>
          <w:szCs w:val="14"/>
        </w:rPr>
        <w:t> СОВЕТСКОГО РАЙОНА КУРСКОЙ ОБЛАСТИ</w:t>
      </w:r>
    </w:p>
    <w:p w:rsidR="00F52113" w:rsidRDefault="00F52113" w:rsidP="00F52113">
      <w:pPr>
        <w:pStyle w:val="a3"/>
        <w:shd w:val="clear" w:color="auto" w:fill="EEEEEE"/>
        <w:spacing w:before="0" w:beforeAutospacing="0" w:after="0" w:afterAutospacing="0"/>
        <w:jc w:val="center"/>
        <w:rPr>
          <w:rFonts w:ascii="Tahoma" w:hAnsi="Tahoma" w:cs="Tahoma"/>
          <w:color w:val="000000"/>
          <w:sz w:val="14"/>
          <w:szCs w:val="14"/>
        </w:rPr>
      </w:pPr>
      <w:r>
        <w:rPr>
          <w:rStyle w:val="a4"/>
          <w:rFonts w:ascii="Tahoma" w:hAnsi="Tahoma" w:cs="Tahoma"/>
          <w:color w:val="000000"/>
          <w:sz w:val="14"/>
          <w:szCs w:val="14"/>
        </w:rPr>
        <w:t>                                             ЧЕТВЁРТОГО СОЗЫВА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26.11</w:t>
      </w:r>
      <w:r>
        <w:rPr>
          <w:rStyle w:val="a4"/>
          <w:rFonts w:ascii="Tahoma" w:hAnsi="Tahoma" w:cs="Tahoma"/>
          <w:color w:val="000000"/>
          <w:sz w:val="14"/>
          <w:szCs w:val="14"/>
        </w:rPr>
        <w:t>.</w:t>
      </w:r>
      <w:r>
        <w:rPr>
          <w:rFonts w:ascii="Tahoma" w:hAnsi="Tahoma" w:cs="Tahoma"/>
          <w:color w:val="000000"/>
          <w:sz w:val="14"/>
          <w:szCs w:val="14"/>
        </w:rPr>
        <w:t>2021 года         № 222</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 о муниципальном контроле</w:t>
      </w:r>
      <w:r>
        <w:rPr>
          <w:rFonts w:ascii="Tahoma" w:hAnsi="Tahoma" w:cs="Tahoma"/>
          <w:b/>
          <w:bCs/>
          <w:color w:val="000000"/>
          <w:sz w:val="14"/>
          <w:szCs w:val="14"/>
        </w:rPr>
        <w:br/>
      </w:r>
      <w:r>
        <w:rPr>
          <w:rStyle w:val="a4"/>
          <w:rFonts w:ascii="Tahoma" w:hAnsi="Tahoma" w:cs="Tahoma"/>
          <w:color w:val="000000"/>
          <w:sz w:val="14"/>
          <w:szCs w:val="14"/>
        </w:rPr>
        <w:t>на автомобильном транспорте, городском наземном электрическом транспорте и в дорожном хозяйстве в границах населенных пунктов</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3.1 Федерального закона от 08.11.2007 года № 259-ФЗ «Устав автомобильного транспорта и городского наземного электрического транспорта», статьей 13.1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муниципального района «Советский район» Курской области, Представительное Собрание Советского района </w:t>
      </w:r>
      <w:r>
        <w:rPr>
          <w:rStyle w:val="a4"/>
          <w:rFonts w:ascii="Tahoma" w:hAnsi="Tahoma" w:cs="Tahoma"/>
          <w:color w:val="000000"/>
          <w:sz w:val="14"/>
          <w:szCs w:val="14"/>
        </w:rPr>
        <w:t>решило:</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вступают в силу с 1 марта 2022 года.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Председателя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Представительного Собрания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Советского района                                                                                    Л.И.Баранова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Советского района                                                                          В.М.Жилинков</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Собрания Советского района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26.11.2021 № 222</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 о муниципальном контроле</w:t>
      </w:r>
      <w:r>
        <w:rPr>
          <w:rFonts w:ascii="Tahoma" w:hAnsi="Tahoma" w:cs="Tahoma"/>
          <w:b/>
          <w:bCs/>
          <w:color w:val="000000"/>
          <w:sz w:val="14"/>
          <w:szCs w:val="14"/>
        </w:rPr>
        <w:br/>
      </w:r>
      <w:r>
        <w:rPr>
          <w:rStyle w:val="a4"/>
          <w:rFonts w:ascii="Tahoma" w:hAnsi="Tahoma" w:cs="Tahoma"/>
          <w:color w:val="000000"/>
          <w:sz w:val="14"/>
          <w:szCs w:val="14"/>
        </w:rPr>
        <w:t>на автомобильном транспорте, городском наземном электрическом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транспорте и в дорожном хозяйстве в границах населенных пунктов</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Советского района Курской области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b/>
          <w:bCs/>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Советского района Курской области (далее – муниципальный контроль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области автомобильных дорог и дорожной деятельности, установленных в отношении автомобильных дорог местного значения Советского района Курской области (далее – автомобильные дороги местного значения или автомобильные дороги общего пользования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Муниципальный контроль на автомобильном транспорте осуществляется Администрацией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(далее – Администрация).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Должностными лицами Администрации, уполномоченными осуществлять муниципальный контроль на автомобильном транспорте, являются заместитель Главы Администрации Советского района Курской области, начальник отдела ЖКХ, строительства, архитектуры, транспорта, связи и экологии либо лицо, его замещающее (далее также – должностные лица, уполномоченные осуществлять муниципальный контроль на автомобильном транспорте)</w:t>
      </w:r>
      <w:r>
        <w:rPr>
          <w:rStyle w:val="a5"/>
          <w:rFonts w:ascii="Tahoma" w:hAnsi="Tahoma" w:cs="Tahoma"/>
          <w:color w:val="000000"/>
          <w:sz w:val="14"/>
          <w:szCs w:val="14"/>
        </w:rPr>
        <w:t>.</w:t>
      </w:r>
      <w:r>
        <w:rPr>
          <w:rFonts w:ascii="Tahoma" w:hAnsi="Tahoma" w:cs="Tahoma"/>
          <w:color w:val="000000"/>
          <w:sz w:val="14"/>
          <w:szCs w:val="1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Федерального закона от 08.11.2007 года № 259-ФЗ «Устав автомобильного транспорта и городского наземного электрического транспорта»,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года № 131-ФЗ «Об общих принципах организации местного самоуправления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Объектами муниципального контроля на автомобильном транспорте являются: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рамках пункта 1 части 1 статьи 16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по использованию полос отвода и (или) придорожных полос автомобильных дорог общего пользования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рамках пункта 2 части 1 статьи 16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присоединение объектов дорожного сервиса к автомобильным дорогам общего пользования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придорожные полосы и полосы отвода автомобильных дорог общего пользования местного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автомобильная дорога общего пользования местного значения и искусственные дорожные сооружения на ней;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примыкания к автомобильным дорогам местного значения, в том числе примыкания объектов дорожного сервиса.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Система оценки и управления рисками при осуществлении муниципального контроля на автомобильном транспорте не применяется.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Профилактика рисков причинения вреда (ущерба) охраняемым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законом ценностям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Советского района Курской области для принятия решения о проведении контрольных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информирование;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обобщение правоприменительной практики;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объявление предостережений;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консультирование;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профилактический визит.</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Советского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6"/>
            <w:rFonts w:ascii="Tahoma" w:hAnsi="Tahoma" w:cs="Tahoma"/>
            <w:color w:val="33A6E3"/>
            <w:sz w:val="14"/>
            <w:szCs w:val="14"/>
          </w:rPr>
          <w:t>частью 3 статьи 46</w:t>
        </w:r>
      </w:hyperlink>
      <w:r>
        <w:rPr>
          <w:rFonts w:ascii="Tahoma" w:hAnsi="Tahoma" w:cs="Tahoma"/>
          <w:color w:val="000000"/>
          <w:sz w:val="14"/>
          <w:szCs w:val="14"/>
        </w:rPr>
        <w:t>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также вправе информировать население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на собраниях и конференциях граждан об обязательных требованиях, предъявляемых к объектам контроля.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w:t>
      </w:r>
      <w:r>
        <w:rPr>
          <w:rFonts w:ascii="Tahoma" w:hAnsi="Tahoma" w:cs="Tahoma"/>
          <w:color w:val="000000"/>
          <w:sz w:val="14"/>
          <w:szCs w:val="14"/>
        </w:rPr>
        <w:br/>
        <w:t>«О типовых формах документов, используемых контрольным (надзорным) органом».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Pr>
          <w:rFonts w:ascii="Tahoma" w:hAnsi="Tahoma" w:cs="Tahoma"/>
          <w:color w:val="000000"/>
          <w:sz w:val="14"/>
          <w:szCs w:val="14"/>
        </w:rPr>
        <w:lastRenderedPageBreak/>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Личный прием граждан проводится Главой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и (или) должностными лицами, уполномоченными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осуществляется в устной или письменной форме по следующим вопросам: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муниципального контроля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порядок осуществления контрольных мероприятий, установленных настоящим Положением;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контролируемых лиц в устной форме может осуществляться также на собраниях и конференциях граждан.</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2.10. Консультирование в письменной форме осуществляется должностными лицами, уполномоченными осуществлять муниципальный контроль на автомобильном транспорте, в следующих случаях:</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контролируемым лицом представлен письменный запрос о представлении письменного ответа по вопросам консультирования;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 время консультирования предоставить в устной форме ответ на поставленные вопросы невозможно;</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ответ на поставленные вопросы требует дополнительного запроса сведений.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осуществлении консультирования должностные лица, уполномоченные осуществлять муниципальный контроль на автомобильном транспорте, обязаны соблюдать конфиденциальность информации, доступ к которой ограничен в соответствии с законодательством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ставшая известной должностным лицам, уполномоченным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Советского района Курской области или должностными лицами, уполномоченными осуществлять муниципальный контроль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Осуществление контрольных мероприятий и контрольных действий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документарная проверка (посредством получения письменных объяснений, истребования документов, экспертизы);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выездное обследование (посредством осмотра, инструментального обследования (с применением видеозаписи), испытания, экспертизы).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Контрольные мероприятия, указанные в подпунктах 1 – 4 пункта 3.1 настоящего Положения, проводятся в форме внеплановых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Внеплановые контрольные мероприятия могут проводиться только после согласования с органами прокуратуры.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Основанием для проведения контрольных мероприятий, проводимых с взаимодействием с контролируемыми лицами, является: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w:t>
      </w:r>
      <w:r>
        <w:rPr>
          <w:rFonts w:ascii="Tahoma" w:hAnsi="Tahoma" w:cs="Tahoma"/>
          <w:color w:val="000000"/>
          <w:sz w:val="14"/>
          <w:szCs w:val="14"/>
        </w:rPr>
        <w:lastRenderedPageBreak/>
        <w:t>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задания, содержащегося в планах работы Администрации, в том числе в случаях, установленных Федеральным </w:t>
      </w:r>
      <w:hyperlink r:id="rId6" w:history="1">
        <w:r>
          <w:rPr>
            <w:rStyle w:val="a6"/>
            <w:rFonts w:ascii="Tahoma" w:hAnsi="Tahoma" w:cs="Tahoma"/>
            <w:color w:val="33A6E3"/>
            <w:sz w:val="14"/>
            <w:szCs w:val="14"/>
          </w:rPr>
          <w:t>законом</w:t>
        </w:r>
      </w:hyperlink>
      <w:r>
        <w:rPr>
          <w:rFonts w:ascii="Tahoma" w:hAnsi="Tahoma" w:cs="Tahoma"/>
          <w:color w:val="000000"/>
          <w:sz w:val="14"/>
          <w:szCs w:val="14"/>
        </w:rPr>
        <w:t>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6"/>
            <w:rFonts w:ascii="Tahoma" w:hAnsi="Tahoma" w:cs="Tahoma"/>
            <w:color w:val="33A6E3"/>
            <w:sz w:val="14"/>
            <w:szCs w:val="14"/>
          </w:rPr>
          <w:t>законом</w:t>
        </w:r>
      </w:hyperlink>
      <w:r>
        <w:rPr>
          <w:rFonts w:ascii="Tahoma" w:hAnsi="Tahoma" w:cs="Tahoma"/>
          <w:color w:val="000000"/>
          <w:sz w:val="14"/>
          <w:szCs w:val="14"/>
        </w:rPr>
        <w:t>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Pr>
            <w:rStyle w:val="a6"/>
            <w:rFonts w:ascii="Tahoma" w:hAnsi="Tahoma" w:cs="Tahoma"/>
            <w:color w:val="33A6E3"/>
            <w:sz w:val="14"/>
            <w:szCs w:val="14"/>
          </w:rPr>
          <w:t>Правилами</w:t>
        </w:r>
      </w:hyperlink>
      <w:r>
        <w:rPr>
          <w:rFonts w:ascii="Tahoma" w:hAnsi="Tahoma" w:cs="Tahoma"/>
          <w:color w:val="000000"/>
          <w:sz w:val="14"/>
          <w:szCs w:val="1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Срок проведения выездной проверки не может превышать 10 рабочих дней.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6"/>
            <w:rFonts w:ascii="Tahoma" w:hAnsi="Tahoma" w:cs="Tahoma"/>
            <w:color w:val="33A6E3"/>
            <w:sz w:val="14"/>
            <w:szCs w:val="14"/>
          </w:rPr>
          <w:t>частью 2 статьи 90</w:t>
        </w:r>
      </w:hyperlink>
      <w:r>
        <w:rPr>
          <w:rFonts w:ascii="Tahoma" w:hAnsi="Tahoma" w:cs="Tahoma"/>
          <w:color w:val="000000"/>
          <w:sz w:val="14"/>
          <w:szCs w:val="14"/>
        </w:rPr>
        <w:t>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Информация о контрольных мероприятиях размещается в Едином реестре контрольных (надзорных)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4 настоящего Положения.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 В случае выявления при проведении контрольного мероприятия нарушений обязательных требований контролируемым лицом Администрация (должностные лица, уполномоченные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Советского района Курской области, органами местного самоуправления, правоохранительными органами, организациями и гражданами.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Обжалование решений Администрации, действий (бездействия)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должностных лиц, уполномоченных осуществлять муниципальный контроль</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решений о проведении контрольных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актов контрольных мероприятий, предписаний об устранении выявленных нарушений;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с предварительным информированием Главы Советского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о наличии в</w:t>
      </w:r>
      <w:r>
        <w:rPr>
          <w:rStyle w:val="a5"/>
          <w:rFonts w:ascii="Tahoma" w:hAnsi="Tahoma" w:cs="Tahoma"/>
          <w:color w:val="000000"/>
          <w:sz w:val="14"/>
          <w:szCs w:val="14"/>
        </w:rPr>
        <w:t> </w:t>
      </w:r>
      <w:r>
        <w:rPr>
          <w:rFonts w:ascii="Tahoma" w:hAnsi="Tahoma" w:cs="Tahoma"/>
          <w:color w:val="000000"/>
          <w:sz w:val="14"/>
          <w:szCs w:val="14"/>
        </w:rPr>
        <w:t>жалобе (документах) сведений, составляющих государственную или иную охраняемую законом тайну.</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Жалоба на решение Администрации, действия (бездействие) его должностных лиц рассматривается Главой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предписание Администрации может быть подана в течение 10 рабочих дней с момента получения контролируемым лицом предписания.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Советского района Курской области не более чем на 20 рабочих дней.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 Ключевые показатели муниципального контроля 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и их целевые значения</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Представительным Собранием Советского района Курской области в приложении №1</w:t>
      </w:r>
      <w:r>
        <w:rPr>
          <w:rStyle w:val="a5"/>
          <w:rFonts w:ascii="Tahoma" w:hAnsi="Tahoma" w:cs="Tahoma"/>
          <w:color w:val="000000"/>
          <w:sz w:val="14"/>
          <w:szCs w:val="14"/>
        </w:rPr>
        <w:t>.</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1</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к Положению о муниципальном контроле на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границах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Ключевые показатели муниципального контроля</w:t>
      </w:r>
      <w:r>
        <w:rPr>
          <w:rFonts w:ascii="Tahoma" w:hAnsi="Tahoma" w:cs="Tahoma"/>
          <w:color w:val="000000"/>
          <w:sz w:val="14"/>
          <w:szCs w:val="14"/>
        </w:rPr>
        <w:t> </w:t>
      </w:r>
      <w:r>
        <w:rPr>
          <w:rStyle w:val="a4"/>
          <w:rFonts w:ascii="Tahoma" w:hAnsi="Tahoma" w:cs="Tahoma"/>
          <w:color w:val="000000"/>
          <w:sz w:val="14"/>
          <w:szCs w:val="14"/>
        </w:rPr>
        <w:t>на автомобильном транспорте и их целевые значения, индикативные показатели</w:t>
      </w:r>
    </w:p>
    <w:tbl>
      <w:tblPr>
        <w:tblW w:w="739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896"/>
        <w:gridCol w:w="2496"/>
      </w:tblGrid>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Ключевые показатели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Целевые значения</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устраненных нарушений из числа выявленных нарушений законодательства в сфере дорожной деятельности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выполнения плана проведения плановых контрольных (надзорных) мероприятий на очередной календарный год</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отмененных результатов контрольных (надзорных) мероприятий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внесенных судебных решений</w:t>
            </w:r>
            <w:r>
              <w:rPr>
                <w:rFonts w:ascii="Tahoma" w:hAnsi="Tahoma" w:cs="Tahoma"/>
                <w:color w:val="000000"/>
                <w:sz w:val="14"/>
                <w:szCs w:val="14"/>
              </w:rPr>
              <w:br/>
              <w:t>о назначении административного наказания</w:t>
            </w:r>
            <w:r>
              <w:rPr>
                <w:rFonts w:ascii="Tahoma" w:hAnsi="Tahoma" w:cs="Tahoma"/>
                <w:color w:val="000000"/>
                <w:sz w:val="14"/>
                <w:szCs w:val="14"/>
              </w:rPr>
              <w:br/>
              <w:t>по материалам органа муниципального контроля</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95%</w:t>
            </w:r>
          </w:p>
        </w:tc>
      </w:tr>
      <w:tr w:rsidR="00F52113" w:rsidTr="00F52113">
        <w:trPr>
          <w:tblCellSpacing w:w="0" w:type="dxa"/>
        </w:trPr>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r>
    </w:tbl>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Индикативные показатели</w:t>
      </w:r>
    </w:p>
    <w:tbl>
      <w:tblPr>
        <w:tblW w:w="0" w:type="auto"/>
        <w:tblCellSpacing w:w="0" w:type="dxa"/>
        <w:shd w:val="clear" w:color="auto" w:fill="EEEEEE"/>
        <w:tblCellMar>
          <w:left w:w="0" w:type="dxa"/>
          <w:right w:w="0" w:type="dxa"/>
        </w:tblCellMar>
        <w:tblLook w:val="04A0"/>
      </w:tblPr>
      <w:tblGrid>
        <w:gridCol w:w="720"/>
        <w:gridCol w:w="1908"/>
        <w:gridCol w:w="144"/>
        <w:gridCol w:w="636"/>
        <w:gridCol w:w="122"/>
        <w:gridCol w:w="1908"/>
        <w:gridCol w:w="122"/>
        <w:gridCol w:w="588"/>
        <w:gridCol w:w="122"/>
        <w:gridCol w:w="1584"/>
      </w:tblGrid>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p>
        </w:tc>
        <w:tc>
          <w:tcPr>
            <w:tcW w:w="6780"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Индикативные показатели, характеризующие параметры</w:t>
            </w:r>
          </w:p>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проведенных мероприятий</w:t>
            </w: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Выполняемость плановых (рейдовых) заданий (осмотров)</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Врз = (РЗф / РЗп) x 100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Врз - выполняемость плановых (рейдовых) заданий (осмотров) %</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РЗф -количество проведенных плановых (рейдовых) заданий (осмотров)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РЗп - количество утвержденных плановых (рейдовых) заданий (осмотров) (ед.)</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Утвержденные плановые (рейдовые) задания (осмотры)</w:t>
            </w: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Выполняемость внеплановых проверок</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Ввн = (Рф / Рп) x 100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Ввн - выполняемость внеплановых проверок</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Рф - количество проведенных внеплановых проверок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Рп - количество распоряжений на проведение внеплановых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Письма и жалобы, поступившие в Контрольный орган</w:t>
            </w: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проверок, на результаты которых поданы жалобы</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x 100 / Пф</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 количество жалоб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Пф - количество проведенных проверок</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проверок, результаты которых были признаны недействительными</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Пн x 100 / Пф</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Пн - количество проверок, признанных недействительными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Пф - количество проведенных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внеплановых проверок, которые не удалось провести в связи с отсутствием собственника и т.д.</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x 100 / Пф</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 проверки, не проведенные по причине отсутствия проверяемого лица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Пф - количество проведенных проверок (ед.)</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Кзо х 100 / Кпз</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Кзо - количество заявлений, по которым пришел отказ в согласовании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Кпз - количество поданных на согласование заявлений</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проверок, по результатам которых материалы направлены в уполномоченные для принятия решений органы</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Кнм х 100 / Квн</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нм - количество материалов, направленных в уполномоченные органы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Квн - количество выявленных нарушений (ед.)</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1.8.</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проведенных профилактических мероприятий</w:t>
            </w:r>
          </w:p>
        </w:tc>
        <w:tc>
          <w:tcPr>
            <w:tcW w:w="7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Шт.</w:t>
            </w:r>
          </w:p>
        </w:tc>
        <w:tc>
          <w:tcPr>
            <w:tcW w:w="17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w:t>
            </w:r>
          </w:p>
        </w:tc>
        <w:tc>
          <w:tcPr>
            <w:tcW w:w="6780"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Индикативные показатели, характеризующие объем задействованных трудовых ресурсов</w:t>
            </w: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w:t>
            </w:r>
          </w:p>
        </w:tc>
        <w:tc>
          <w:tcPr>
            <w:tcW w:w="19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штатных единиц</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c>
          <w:tcPr>
            <w:tcW w:w="19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c>
          <w:tcPr>
            <w:tcW w:w="6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Чел.</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w:t>
            </w:r>
          </w:p>
        </w:tc>
        <w:tc>
          <w:tcPr>
            <w:tcW w:w="19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Нагрузка контрольных мероприятий на работников органа муниципального контроля</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Км / Кр= Нк</w:t>
            </w:r>
          </w:p>
        </w:tc>
        <w:tc>
          <w:tcPr>
            <w:tcW w:w="19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Км - количество контрольных мероприятий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 - количество работников органа муниципального контроля (ед.)</w:t>
            </w:r>
          </w:p>
          <w:p w:rsidR="00F52113" w:rsidRDefault="00F52113">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Нк - нагрузка на 1 работника (ед.)</w:t>
            </w:r>
          </w:p>
        </w:tc>
        <w:tc>
          <w:tcPr>
            <w:tcW w:w="6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52113" w:rsidRDefault="00F52113">
            <w:pPr>
              <w:rPr>
                <w:rFonts w:ascii="Tahoma" w:hAnsi="Tahoma" w:cs="Tahoma"/>
                <w:color w:val="000000"/>
                <w:sz w:val="14"/>
                <w:szCs w:val="14"/>
              </w:rPr>
            </w:pPr>
          </w:p>
        </w:tc>
      </w:tr>
      <w:tr w:rsidR="00F52113" w:rsidTr="00F52113">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
                <w:szCs w:val="14"/>
              </w:rPr>
            </w:pPr>
          </w:p>
        </w:tc>
      </w:tr>
    </w:tbl>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122"/>
      </w:tblGrid>
      <w:tr w:rsidR="00F52113" w:rsidTr="00F52113">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F52113" w:rsidRDefault="00F52113">
            <w:pPr>
              <w:rPr>
                <w:rFonts w:ascii="Tahoma" w:hAnsi="Tahoma" w:cs="Tahoma"/>
                <w:color w:val="000000"/>
                <w:sz w:val="14"/>
                <w:szCs w:val="14"/>
              </w:rPr>
            </w:pPr>
          </w:p>
        </w:tc>
      </w:tr>
    </w:tbl>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2</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Положению о муниципальном контроле</w:t>
      </w:r>
      <w:r>
        <w:rPr>
          <w:rFonts w:ascii="Tahoma" w:hAnsi="Tahoma" w:cs="Tahoma"/>
          <w:color w:val="000000"/>
          <w:sz w:val="14"/>
          <w:szCs w:val="14"/>
        </w:rPr>
        <w:br/>
        <w:t>на автомобильном транспорте</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Индикаторы риска</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нарушения обязательных требований</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законодательства в области автомобильных дорог 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дорожной деятельности, используемые для определения необходимости проведения внеплановых проверок при осуществлении Администрацией Советского района Курской области</w:t>
      </w:r>
      <w:r>
        <w:rPr>
          <w:rFonts w:ascii="Tahoma" w:hAnsi="Tahoma" w:cs="Tahoma"/>
          <w:color w:val="000000"/>
          <w:sz w:val="14"/>
          <w:szCs w:val="14"/>
        </w:rPr>
        <w:t> </w:t>
      </w:r>
      <w:r>
        <w:rPr>
          <w:rStyle w:val="a4"/>
          <w:rFonts w:ascii="Tahoma" w:hAnsi="Tahoma" w:cs="Tahoma"/>
          <w:color w:val="000000"/>
          <w:sz w:val="14"/>
          <w:szCs w:val="1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Советского района Курской области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нарушения обязательных требований к осуществлению дорожной деятельности;</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52113" w:rsidRDefault="00F52113" w:rsidP="00F5211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информации об установленном факте нарушении обязательных требований при производстве дорожных работ.</w:t>
      </w:r>
    </w:p>
    <w:p w:rsidR="00D847F3" w:rsidRPr="00F52113" w:rsidRDefault="00D847F3" w:rsidP="00F52113"/>
    <w:sectPr w:rsidR="00D847F3" w:rsidRPr="00F5211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96C40"/>
    <w:rsid w:val="002B1509"/>
    <w:rsid w:val="002B5B92"/>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1C0E"/>
    <w:rsid w:val="009D49AD"/>
    <w:rsid w:val="009E032C"/>
    <w:rsid w:val="009F3C35"/>
    <w:rsid w:val="00A04DD2"/>
    <w:rsid w:val="00A107F5"/>
    <w:rsid w:val="00A20418"/>
    <w:rsid w:val="00A20754"/>
    <w:rsid w:val="00A25D26"/>
    <w:rsid w:val="00A32637"/>
    <w:rsid w:val="00A356D9"/>
    <w:rsid w:val="00A37DDE"/>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3137"/>
    <w:rsid w:val="00C76932"/>
    <w:rsid w:val="00C77873"/>
    <w:rsid w:val="00C85F67"/>
    <w:rsid w:val="00CA433E"/>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52113"/>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7066</Words>
  <Characters>40280</Characters>
  <Application>Microsoft Office Word</Application>
  <DocSecurity>0</DocSecurity>
  <Lines>335</Lines>
  <Paragraphs>94</Paragraphs>
  <ScaleCrop>false</ScaleCrop>
  <Company/>
  <LinksUpToDate>false</LinksUpToDate>
  <CharactersWithSpaces>47252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335</cp:revision>
  <dcterms:created xsi:type="dcterms:W3CDTF">2023-09-07T13:12:00Z</dcterms:created>
  <dcterms:modified xsi:type="dcterms:W3CDTF">2023-09-08T17:53:00Z</dcterms:modified>
</cp:coreProperties>
</file>