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02" w:rsidRPr="00982002" w:rsidRDefault="00982002" w:rsidP="00982002">
      <w:pPr>
        <w:shd w:val="clear" w:color="auto" w:fill="EEEEEE"/>
        <w:spacing w:after="0" w:line="240" w:lineRule="auto"/>
        <w:jc w:val="center"/>
        <w:outlineLvl w:val="0"/>
        <w:rPr>
          <w:rFonts w:ascii="Tahoma" w:eastAsia="Times New Roman" w:hAnsi="Tahoma" w:cs="Tahoma"/>
          <w:b/>
          <w:bCs/>
          <w:color w:val="000000"/>
          <w:kern w:val="36"/>
          <w:sz w:val="48"/>
          <w:szCs w:val="48"/>
          <w:lang w:eastAsia="ru-RU"/>
        </w:rPr>
      </w:pPr>
      <w:r w:rsidRPr="00982002">
        <w:rPr>
          <w:rFonts w:ascii="Tahoma" w:eastAsia="Times New Roman" w:hAnsi="Tahoma" w:cs="Tahoma"/>
          <w:b/>
          <w:bCs/>
          <w:color w:val="000000"/>
          <w:kern w:val="36"/>
          <w:sz w:val="24"/>
          <w:szCs w:val="24"/>
          <w:lang w:eastAsia="ru-RU"/>
        </w:rPr>
        <w:br/>
      </w:r>
      <w:r w:rsidRPr="00982002">
        <w:rPr>
          <w:rFonts w:ascii="Tahoma" w:eastAsia="Times New Roman" w:hAnsi="Tahoma" w:cs="Tahoma"/>
          <w:b/>
          <w:bCs/>
          <w:color w:val="000000"/>
          <w:kern w:val="36"/>
          <w:sz w:val="24"/>
          <w:lang w:eastAsia="ru-RU"/>
        </w:rPr>
        <w:t>ПРЕДСТАВИТЕЛЬНОЕ СОБРАНИЕ</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СОВЕТСКОГО РАЙОНА КУРСКОЙ ОБЛАСТИ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ЧЕТВЁРТОГО СОЗЫВА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РЕШЕНИЕ</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от   24.02.2021 года  № 174</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740"/>
      </w:tblGrid>
      <w:tr w:rsidR="00982002" w:rsidRPr="00982002" w:rsidTr="00982002">
        <w:trPr>
          <w:tblCellSpacing w:w="0" w:type="dxa"/>
        </w:trPr>
        <w:tc>
          <w:tcPr>
            <w:tcW w:w="47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Об утверждении отчёта о деятельности Ревизионной комиссии Советского района Курской области за 2020 год</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r>
    </w:tbl>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соответствии со статьёй  19 Федерального закона «Об общих принципах организации и деятельности контрольно-счётных органов субъектов Российской Федерации и муниципальных образований», статьёй 20 Положения о Ревизионной комиссии Советского района Курской области, утверждённого решением Представительного Собрания Советского района от 21.11.2012 года № 223, Представительное Собрание Советского района </w:t>
      </w:r>
      <w:r w:rsidRPr="00982002">
        <w:rPr>
          <w:rFonts w:ascii="Tahoma" w:eastAsia="Times New Roman" w:hAnsi="Tahoma" w:cs="Tahoma"/>
          <w:b/>
          <w:bCs/>
          <w:color w:val="000000"/>
          <w:sz w:val="11"/>
          <w:lang w:eastAsia="ru-RU"/>
        </w:rPr>
        <w:t>решило</w:t>
      </w:r>
      <w:r w:rsidRPr="00982002">
        <w:rPr>
          <w:rFonts w:ascii="Tahoma" w:eastAsia="Times New Roman" w:hAnsi="Tahoma" w:cs="Tahoma"/>
          <w:color w:val="000000"/>
          <w:sz w:val="11"/>
          <w:szCs w:val="11"/>
          <w:lang w:eastAsia="ru-RU"/>
        </w:rPr>
        <w:t>:</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 Утвердить отчёт о деятельности Ревизионной комиссии Советского района Курской области за 2020 год согласно приложению.</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2. Настоящее решение вступает в силу со дня его подписания и подлежит опубликованию на официальном сайте муниципального района «Советский район» Курской области.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Заместитель Председателя</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Представительного Собрания</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Советского района                                                                           Л.И.Баранова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Приложение</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к решению Представительного</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Собрания Советского района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от 24.02.2021 г. № 174</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ОТЧЕТ</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о деятельности Ревизионной комиссии Советского района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Курской области за 2020 год</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 Вводные положения</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Настоящий отчет о деятельности Ревизионной комиссии Советского  района  Курской области за 2020 год (далее - Отчет) подготовлен и направляется на рассмотрение в Представительное Собрание Советского района в соответствии с частью 2 статьи 19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и   пунктом 20  Положения о Ревизионной комиссии Советского района Курской области, утвержденного решением Представительного Собрания Советского района от 21.11.2012 № 223 (далее – Положение о Ревизионной комиссии).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Отчете отражены итоги деятельности Ревизионной комиссии  за 2020 год по выполнению возложенных задач и реализации полномочий, направленных, прежде всего на повышение  эффективности бюджетных расходов и, особенно на поиск новых бюджетных резервов в современных  экономических условиях.</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Ревизионная комиссия  осуществляла в 2020 году свою деятельность на основании плана, в ходе разработки которого были предусмотрены реализация всех полномочий Ревизионной комиссии, установленных законодательством; поручения Представительного Собрания и Главы Советского района  Курской области; обращения Контрольно-счетной палаты Курской области, глав муниципальных образований.</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Контрольные полномочия Ревизионной комиссии распространялись на муниципальные органы власти района, учреждения и предприятия, получающие средства областного и местного бюджетов, а также иные организации.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2020 году важнейшим приоритетом экономической политики в стране являлось достижение национальных целей, путем реализации для их достижения национальных проектов.</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Проведение контрольных и экспертно-аналитических мероприятий, подготовка на основе их результатов предложений по устранению выявленных нарушений, совершенствованию нормативно-правовой базы являлись основными направлениями деятельности Ревизионной комиссии, результаты которой отражены в данном Отчете. Одним из направлений деятельности Ревизионной комиссии в 2020 году являлось  проведение финансово-экономической экспертизы проектов муниципальных программ и изменений в них, рассмотрение содержания и оценки проекта на предмет достаточности запланированных  мероприятий и имеющихся ресурсов для достижения целей в соответствующей сфере обеспечения жизнедеятельности Советского района Курской области, проверки соответствия показателей муниципальных программ.</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Проведение финансового контроля и аудита, подготовки заключений на проекты решений о бюджете муниципального района «Советский район» и бюджетах муниципальных образований района на 2021 год и плановый период 2022 и 2023 годов; на проект решения об исполнении  бюджета муниципального района «Советский район» за 2019 год, проведение ежеквартальных проверок исполнения бюджета муниципального района за 2020 год, проверок расходования средств на различные мероприятия, аудита реализации контрактной системы закупок позволило Ревизионной комиссии  стать активным участником бюджетного процесса  Советского района Курской области.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Две тысячи двадцатый год стал годом дальнейшего совершенствования правового законодательства в сфере внешнего государственного финансового контроля (аудита),  путем внесения изменений в Бюджетный Кодекс РФ, в частности были добавлены следующие полномочия реализуемые Ревизионной комиссии: внешняя проверка годового отчета об исполнении местного бюджета, которая может осуществляться Ревизионной комиссией в случае заключения соглашения с представительным органом муниципального образования;  введена экспертиза документов стратегического планирования; мониторинг и анализ формирования и использования системы целевых показателей при разработке и реализации  документов стратегического планирования и проведение самого стратегического аудита.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 Планирование деятельности Ревизионной комиссии на 2020 год</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соответствии с нормами федерального и областного законодательства Ревизионная комиссия осуществляет свою деятельность на основе годовых планов, которые разрабатываются Ревизионной комиссией и утверждаются Председателем Ревизионной комиссии не позднее 30 декабря года, предшествующего планируемому.</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План деятельности Ревизионной комиссии на 2020 год сформирован с учетом необходимости реализация всех полномочий Ревизионной комиссии, установленных законодательством, поручений Представительного Собрания Советского района, обращений Главы Советского района, Контрольно-счетной палаты Курской области, глав муниципальных образований.</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план деятельности Ревизионной комиссии  на 2020 год включены 1 мероприятие по поручению Представительного Собрания Советского района, 2 мероприятия по предложению Главы Советского района, 3 мероприятия по обращениям глав муниципальных образований Советского района, 2 мероприятия совместно с  Контрольно- счетной палатой  Курской области.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Кроме мероприятий, включенных по поручениям и обращениям, план деятельности  Ревизионной комиссии на 2020 год содержал контрольные и экспертно-аналитические мероприятия, тематика которых определена с учетом реализации полномочий Ревизионной комиссии, установленных Бюджетным кодексом РФ, статьей 7 Положения о Ревизионной комиссии.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Так, в плане деятельности Ревизионной комиссии нашли отражение такие основные полномочия, как организация и осуществление контроля за законностью, результативностью (эффективностью и экономностью) использования средств областного бюджета, средств бюджетов муниципального района и муниципальных образований района и иных источников, предусмотренных законодательством Российской Федерации; контроль за соблюдением установленного порядка управления и распоряжения имуществом, находящимся в муниципальной собственности Советского района; подготовка заключений на проекты исполнения годового отчета бюджета муниципального района «Советский район», муниципальных образований Советского района  за 2019 год, заключений на проекты бюджета  муниципального района «Советский район» на 2021 год и плановый период 2022-2023 гг., а также заключения на проекты изменений в вышеуказанные бюджеты, проведение внешних проверок бюджетной отчетности главных распорядителей средств бюджета муниципального района, контроль за исполнением бюджета муниципального района и бюджета  муниципальных образований Советского района  Курской области; подготовка ежеквартальных информаций по исполнению бюджета муниципального района и другие мероприятия, непосредственно обусловленные полномочиями Ревизионной комиссией.</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Годовой план деятельности Ревизионной комиссии, внесение в него изменений и дополнений утверждались Председателем Ревизионной комиссии, он размещен на официальном сайте муниципального района «Советский район» в информационно-телекоммуникационной сети «Интернет».</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3.  Основные итоги деятельности Ревизионной комиссии в 2020 году</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2020 году Ревизионной комиссии проведено 73 контрольных и экспертно-аналитических мероприятий, в том числе 19 контрольных и 54 экспертно-аналитических. В ходе проведенных мероприятий охвачено 42 объекта контроля, объем проверенных средств составил 641630,3</w:t>
      </w:r>
      <w:r w:rsidRPr="00982002">
        <w:rPr>
          <w:rFonts w:ascii="Tahoma" w:eastAsia="Times New Roman" w:hAnsi="Tahoma" w:cs="Tahoma"/>
          <w:b/>
          <w:bCs/>
          <w:color w:val="000000"/>
          <w:sz w:val="11"/>
          <w:lang w:eastAsia="ru-RU"/>
        </w:rPr>
        <w:t> </w:t>
      </w:r>
      <w:r w:rsidRPr="00982002">
        <w:rPr>
          <w:rFonts w:ascii="Tahoma" w:eastAsia="Times New Roman" w:hAnsi="Tahoma" w:cs="Tahoma"/>
          <w:color w:val="000000"/>
          <w:sz w:val="11"/>
          <w:szCs w:val="11"/>
          <w:lang w:eastAsia="ru-RU"/>
        </w:rPr>
        <w:t>тыс. руб.</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Проведено 54 финансово-экономических экспертизы проектов   нормативных правовых актов, в том числе 13 по проектам решений и 41 по проектам муниципальных программ. С учетом замечаний и предложений Ревизионной комиссии по итогам проведенных финансово-экономических экспертиз принято 22 предложения.</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Значительное внимание уделено в 2020 году мониторингу реализации в Курской области национальных проектов, в этих целях проведено 2 контрольных мероприятия по реализации региональных проектов (программ). Итоги всех проведенных проверок рассматривались с участием руководителей проверенных организаций.</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Обобщая результаты проведенной в отчетном периоде контрольной работы, Ревизионная комиссия считает, что выявленные проверками нарушения не носили характер злоупотреблений, а, как правило, не должным образом соблюдали существующее законодательство в области учета и отчетности.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lastRenderedPageBreak/>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4.  Экспертно-аналитическая деятельность Ревизионной комиссии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2020 году Ревизионной комиссией в соответствии с Положением о Ревизионной комиссии осуществлялась подготовка заключений на годовые отчеты об исполнении бюджетов муниципального района  «Советский район» и сельских поселений, входящих в состав муниципального района «Советский район», в рамках проведения внешней проверки годовых отчетов об исполнении указанных бюджетов, проводилась экспертиза проектов местных бюджетов муниципального района  «Советский район» и одиннадцати сельских поселений, входящих в состав муниципального района  «Советский район», финансово-экономическая экспертиза проектов муниципальных правовых актов муниципального района «Советский район» (включая обоснованность финансово-экономических обоснований) в части, касающейся расходных обязательств муниципального района «Советский район» и муниципальных программ, а также подготавливалась информация о ходе исполнения местных бюджетов муниципального района «Советский  район» по итогам 1 полугодия и 9 месяцев 2020 года.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В течение 2020 года проведено 13 экспертно-аналитических мероприятия, (заключения на проект бюджета  района на 2021 год и плановый период 2022-2023 гг., заключения об исполнении бюджета района и бюджетов поселений за 2019 год).</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О результатах контрольных и экспертно-аналитических мероприятий Ревизионная комиссия регулярно информировала Главу Советского района, Председателя Представительного Собрания Советского района.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ходе анализа представленных нормативно-правовых актов выявлены нарушения действующего законодательства, арифметические ошибки и прочие несоответствия. При подготовке заключений Ревизионной комиссией вносились предложения по устранению выявленных нарушений и несоответствий, которые были учтены при принятии нормативно-правовых актов.</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Основной упор при проведении экспертно-аналитических мероприятий делался Ревизионной комиссией на анализ решений о бюджете Советского района и входящих в его состав муниципальных образований.</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соответствии с Бюджетным кодексом Российской Федерации, Положением о Ревизионной комиссии и иными нормативно-правовыми актами в 2020 году было подготовлено заключение Ревизионной комиссии на проект решения Представительного Собрания Советского района Курской области «О бюджете муниципального района «Советского  район» Курской области на 2021 год и на плановый период 2022-2023гг.».</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рамках предварительного контроля был осуществлен анализ основных характеристик бюджета Советского района на 2020 год, соблюдения требований действующего законодательства в процессе разработки бюджета, объективности планирования доходов бюджета, а также оценка эффективности и результативности, целевого назначения бюджетных расходов муниципального образования.</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Экспертно-аналитические мероприятия, проведенные в 2020 году, были направлены на обеспечение единой системы контроля за формированием и исполнением консолидированного бюджета Советского района.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Данная система контроля интегрирована в основные составляющие бюджетного процесса и предполагает непрерывный цикл контроля за исполнением бюджета, реализуемого на стадии предварительного контроля проекта бюджета на очередной финансовый год и стадии последующей проверки уже исполненного бюджета за отчетный финансовый год</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5.  Контрольная деятельность Ревизионной комиссии, нарушения, установленные в ходе проведения контрольных и экспертно-аналитических мероприятий в 2020 году       </w:t>
      </w: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2020 году проведено 19 контрольных мероприятий, в том числе в одиннадцати сельских поселениях, входящих в состав муниципального района «Советский район». Всего по итогам проведенных контрольных и экспертно-аналитических мероприятий установлено 43 различного рода нарушений бюджетного и иного законодательства на общую сумму 151772,1</w:t>
      </w:r>
      <w:r w:rsidRPr="00982002">
        <w:rPr>
          <w:rFonts w:ascii="Tahoma" w:eastAsia="Times New Roman" w:hAnsi="Tahoma" w:cs="Tahoma"/>
          <w:b/>
          <w:bCs/>
          <w:color w:val="000000"/>
          <w:sz w:val="11"/>
          <w:lang w:eastAsia="ru-RU"/>
        </w:rPr>
        <w:t> </w:t>
      </w:r>
      <w:r w:rsidRPr="00982002">
        <w:rPr>
          <w:rFonts w:ascii="Tahoma" w:eastAsia="Times New Roman" w:hAnsi="Tahoma" w:cs="Tahoma"/>
          <w:color w:val="000000"/>
          <w:sz w:val="11"/>
          <w:szCs w:val="11"/>
          <w:lang w:eastAsia="ru-RU"/>
        </w:rPr>
        <w:t>тыс. руб. или 21,2% от всех проверенных средств. В 2019 году этот процент составлял – 23,4%, и в 2017 году - 23,9%.  Это свидетельствует о снижения процентного отношения объемов проверенных средств бюджета к суммам нарушений.</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Наибольшие суммы нарушений традиционно допущены: при ведении бухгалтерского учета, составлении и представлении бухгалтерской (финансовой)  отчетности  на общую сумму 28865,2тыс. руб. в 8 случаях, в том числе 2 случая грубых нарушений правил ведения бухгалтерского учета, выразившееся в искажении бухгалтерской отчетности; в нарушении порядка применения бюджетной классификации РФ 5 случаев на общую сумму 10 244,7 тыс.руб; неосуществление бюджетных полномочий главного распорядителя бюджетных средств 2 случая нарушений на общую сумму 3965,4 тыс. руб.</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Нецелевого использования бюджетных средств в 2020 году не установлено, выявлено 2 случая неэффективного использования муниципальных средств на общую сумму 58,2 тыс. руб. Кроме того выявлено нарушений установленного порядка управления и распоряжения имуществом на сумму 24270,0 тыс. рублей.</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Вся сводная информация размещена в нижеприведенной таблице.</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Информация</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нарушениях по «Классификатору нарушений, в ходе внешнего государственного аудита (контроля)» при проведении экспертно-аналитических и контрольных мероприятий за 2020 год</w:t>
      </w:r>
    </w:p>
    <w:tbl>
      <w:tblPr>
        <w:tblW w:w="609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4"/>
        <w:gridCol w:w="3823"/>
        <w:gridCol w:w="595"/>
        <w:gridCol w:w="1091"/>
        <w:gridCol w:w="129"/>
      </w:tblGrid>
      <w:tr w:rsidR="00982002" w:rsidRPr="00982002" w:rsidTr="00982002">
        <w:trPr>
          <w:tblCellSpacing w:w="0" w:type="dxa"/>
        </w:trPr>
        <w:tc>
          <w:tcPr>
            <w:tcW w:w="5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п/п</w:t>
            </w:r>
          </w:p>
        </w:tc>
        <w:tc>
          <w:tcPr>
            <w:tcW w:w="53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Вид нарушения и его наименование согласно «Классификатора нарушений»</w:t>
            </w:r>
          </w:p>
        </w:tc>
        <w:tc>
          <w:tcPr>
            <w:tcW w:w="2052" w:type="dxa"/>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Всего</w:t>
            </w:r>
          </w:p>
        </w:tc>
      </w:tr>
      <w:tr w:rsidR="00982002" w:rsidRPr="00982002" w:rsidTr="00982002">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2002" w:rsidRPr="00982002" w:rsidRDefault="00982002" w:rsidP="00982002">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982002" w:rsidRPr="00982002" w:rsidRDefault="00982002" w:rsidP="00982002">
            <w:pPr>
              <w:spacing w:after="0" w:line="240" w:lineRule="auto"/>
              <w:rPr>
                <w:rFonts w:ascii="Tahoma" w:eastAsia="Times New Roman" w:hAnsi="Tahoma" w:cs="Tahoma"/>
                <w:color w:val="000000"/>
                <w:sz w:val="11"/>
                <w:szCs w:val="11"/>
                <w:lang w:eastAsia="ru-RU"/>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ККол-во</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Сумма</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(тыс. руб.)</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4</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I. Группа - Нарушения при формировании и исполнении бюджетов, всего,</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в том числе: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110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24531,0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1.1. </w:t>
            </w:r>
            <w:r w:rsidRPr="00982002">
              <w:rPr>
                <w:rFonts w:ascii="Tahoma" w:eastAsia="Times New Roman" w:hAnsi="Tahoma" w:cs="Tahoma"/>
                <w:b/>
                <w:bCs/>
                <w:color w:val="000000"/>
                <w:sz w:val="11"/>
                <w:lang w:eastAsia="ru-RU"/>
              </w:rPr>
              <w:t>Нарушения в ходе формирования бюджетов, всего,</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в том числе: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4569,4</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3.</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1.1.2 Нарушение порядка применения бюджетной классификации Российской Федерации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4569,4</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4.</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1.2 </w:t>
            </w:r>
            <w:r w:rsidRPr="00982002">
              <w:rPr>
                <w:rFonts w:ascii="Tahoma" w:eastAsia="Times New Roman" w:hAnsi="Tahoma" w:cs="Tahoma"/>
                <w:b/>
                <w:bCs/>
                <w:color w:val="000000"/>
                <w:sz w:val="11"/>
                <w:lang w:eastAsia="ru-RU"/>
              </w:rPr>
              <w:t>Нарушения в ходе исполнения бюджетов, всего,</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в том числе: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7</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19961,6</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5.</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1.2.6 Нарушение порядка применения бюджетной классификации Российской Федерации.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5675,3</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6.</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1.2.89 Непринятие мер по удержанию неустойки и ее своевременном перечислению в доход бюджета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204,8</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7.</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1.2.97. Неосуществление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3965,4</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8.</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1.2.98 Неосуществление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10116,1</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II.Группа - Нарушения ведения бухгалтерского учета, составления и представления бухгалтерской (финансовой) отчетности, всего,</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в том числе: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8</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28865,2</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2.2 Нарушение требований, предъявляемых к обязательным реквизитам первичных учетных документов.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14579,8</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2.3 Нарушение требований, предъявляемых к регистру бухгалтерского учета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13791,3</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3.</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2.9 Нарушение общих требований к бухгалтерской (финансовой) отчетности экономического субъекта, в том числе к ее составу</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4.</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2.11 Нарушение требований, предъявляемых к применению правил ведения бухгалтерского учета и составления бухгалтерской отчетности, утвержденных уполномоченными федеральными органами исполнительной власти и Центральным банком Российской Федерации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5.</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2.12 Грубое нарушение правил ведения бухгалтерского учета, выразившееся в искажении любой статьи (строки) формы бухгалтерской отчетности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565,8</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III.Группа - Нарушения в сфере управления и распоряжения государственной (муниципальной) собственностью, всего,</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в том числе: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28</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24270,0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3.19 Нарушения порядка закрепления и использования находящихся в государственной (муниципальной) собственности административных зданий, строений, нежилых помещений и движимого имущества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3.24 Нарушение порядка учета и ведения реестра государственного (муниципального) имущества</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33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3.</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3.27 Несоблюдение требования государственной регистрации прав собственности, других вещных прав на недвижимые вещи, ограничений этих прав, их возникновения, перехода и прекращения за исключением земельных участков</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33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4.</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xml:space="preserve">3.37 Неправомерное предоставление в аренду, безвозмездное пользование, доверительное управление объектов государственного </w:t>
            </w:r>
            <w:r w:rsidRPr="00982002">
              <w:rPr>
                <w:rFonts w:ascii="Tahoma" w:eastAsia="Times New Roman" w:hAnsi="Tahoma" w:cs="Tahoma"/>
                <w:color w:val="000000"/>
                <w:sz w:val="11"/>
                <w:szCs w:val="11"/>
                <w:lang w:eastAsia="ru-RU"/>
              </w:rPr>
              <w:lastRenderedPageBreak/>
              <w:t>(муниципального) имущества, в том числе предоставление государственного (муниципального) имущества в пользование без оформления договорных отношений, с превышением полномочий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lastRenderedPageBreak/>
              <w:t>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lastRenderedPageBreak/>
              <w:t> </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IV.Группа - Нарушения при осуществлении государственных (муниципальных) закупок отдельными видами юридических лиц, всего,</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в том числе: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50501,2</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4.4 Несоблюдение порядка заключения государственного или муниципального контракта (договора) на поставку товаров, выполнение работ, оказание услуг для государственных или муниципальных нужд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4.10 Нарушения порядка формирования контрактной службы (назначения контрактных управляющих)</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3.</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4.24 Включение в документацию (извещение) о закупке требований к участникам закупки, влекущих ограничение конкуренции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4.</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4.27 Несоблюдение требований к содержанию документации (извещения) о закупке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5.</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4.34 Нарушение при выборе способа определения поставщика (подрядчика, исполнителя) как закупка у единственного поставщика (подрядчика, исполнителя)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32 008,2</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6.</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4.41 Внесение изменений в контракт (договор) с нарушением требований, установленных законодательством</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18 214,1</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7.</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4.44 «Нарушения условий реализации контрактов (договоров), в том числе сроков реализации, включая своевременность расчетов по контракту (договору)</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8.</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4.45 Несоответствие поставленных товаров, выполненных работ, оказанных услуг требованиям, установленным в контрактах (договорах)</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124,4</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9.</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4.47 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154,5</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VII.Группа - Иные нарушения, всего,</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в том числе:</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5</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23546,5</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VIII Группа - Нецелевое использование бюджетных средств.</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0,0</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ИТОГО по группам классификатора:</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242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151713,9</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Неэффективное использование бюджетных средств</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58,2</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r w:rsidR="00982002" w:rsidRPr="00982002" w:rsidTr="00982002">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ВСЕГО с неэффективным использованием бюджетных средств </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243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151772,1</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982002" w:rsidRPr="00982002" w:rsidRDefault="00982002" w:rsidP="00982002">
            <w:pPr>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tc>
      </w:tr>
    </w:tbl>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Наиболее часто встречающимися нарушениями являются нарушения по оплате труда и ведению бухгалтерского учета, нарушения по распоряжению муниципальным имуществом, а также неэффективное использование муниципального имущества.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6. Меры принятые по устранению выявленных нарушений и замечаний в ходе проведения внешнего государственного аудита (контроля).</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Результаты экспертно-аналитических и контрольно-ревизионных мероприятий, проведенных Ревизионной комиссией в 2020 году, свидетельствуют о том, что имеются достаточные резервы совершенствования бюджетного процесса и бюджетных процедур, укрепления финансовой дисциплины.</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Важным аспектом в работе Ревизионной комиссии Советского района является устранение нарушений и недостатков, выявленных в ходе проведения контрольных мероприятий, и предотвращение нарушений в будущем.</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Результаты всех контрольных мероприятий доведены до руководителей объектов проверок в виде информационных писем и представлений с указанием нарушений, предложений и рекомендаций, направленных на устранение выявленных замечаний и нарушений. Т.е. по результатам контрольных мероприятий в 2020 году Ревизионной комиссией направлено 8 представлений, в которых содержалось 75 предложений по устранению выявленных нарушений. На дату составления данного отчета остаются на контроле 1 представление, срок исполнения которого не наступил. Привлечено 8 лиц, допустивших нарушения, к дисциплинарной ответственности. Устранено выявленных финансовых нарушений на общую сумму 132041,7 тыс. руб. или 13,3 % от общего объема нарушений. По итогам 2 контрольных мероприятий материалы проверок направлены в правоохранительные органы.</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Ревизионной комиссией оказывалась консультативная и методическая помощь для принятия конкретных мер по устранению выявленных недостатков.</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Во всех проверенных организациях разработаны планы мероприятий по выполнению рекомендаций Ревизионной комиссии. Получены отчеты о выполнении предписаний и представлений. Выполнение мероприятий объектами проверок по устранению выявленных замечаний и нарушений находится на контроле Ревизионной комиссии.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Отчеты о проведенных контрольных и экспертно-аналитических мероприятиях по аудиторским направлениям Ревизионной комиссии направлялись в Представительное Собрание Советского района, Главе Советского района.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Анализ выявленных нарушений и недостатков в 2020 году показывает, что:</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еще недостаточен уровень профессиональной подготовки специалистов, ответственных за ведение бухгалтерского учета;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недостаточен контроль за соблюдением действующего законодательства при расходовании средств бюджета и использовании имущества;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недостаточно активно проводится  работа по оказанию методической помощи учреждениям в части ведения бухгалтерского  учета, в части правильности расходования бюджетных средств, составления  бухгалтерской отчетности, в части использования имущества со стороны учреждений, входящих в структуру администрации Советского района.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7. Взаимодействие с государственными и муниципальными органами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Ревизионной комиссией в 2020 году принималось участие в работе заседаний Представительного Собрания Советского района и заседаний комиссий Представительного Собрания района. Также в мае 2020 года принималось участие в Общем собрании Совета контрольно-счетных органов Курской области. Проводилась активная работа по установлению связей с контрольно-счетными органами других муниципальных образований и разработке единых подходов к проведению контрольных и экспертных мероприятий.</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отчетном периоде направлены два материала контрольных мероприятий в органы прокуратуры для принятия мер прокурорского реагирования:</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1.«Проверка законности, целевого и эффективного расходования бюджетных средств, выделенных на государственную поддержку местного бюджета по проведению капитального ремонта МКУК «Советский ДНТ» в 2019 году (совместно с Контрольно-счетной палатой  Курской области)»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2.</w:t>
      </w:r>
      <w:r w:rsidRPr="00982002">
        <w:rPr>
          <w:rFonts w:ascii="Tahoma" w:eastAsia="Times New Roman" w:hAnsi="Tahoma" w:cs="Tahoma"/>
          <w:b/>
          <w:bCs/>
          <w:color w:val="000000"/>
          <w:sz w:val="11"/>
          <w:lang w:eastAsia="ru-RU"/>
        </w:rPr>
        <w:t> </w:t>
      </w:r>
      <w:r w:rsidRPr="00982002">
        <w:rPr>
          <w:rFonts w:ascii="Tahoma" w:eastAsia="Times New Roman" w:hAnsi="Tahoma" w:cs="Tahoma"/>
          <w:color w:val="000000"/>
          <w:sz w:val="11"/>
          <w:szCs w:val="11"/>
          <w:lang w:eastAsia="ru-RU"/>
        </w:rPr>
        <w:t>«Проведение внешней проверки годового отчета об исполнении бюджета муниципального образования «Мансуровский сельсовет» Советского района Курской области за период с 01.01.2017 года по 01.01.2018 года»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r w:rsidRPr="00982002">
        <w:rPr>
          <w:rFonts w:ascii="Tahoma" w:eastAsia="Times New Roman" w:hAnsi="Tahoma" w:cs="Tahoma"/>
          <w:b/>
          <w:bCs/>
          <w:color w:val="000000"/>
          <w:sz w:val="11"/>
          <w:lang w:eastAsia="ru-RU"/>
        </w:rPr>
        <w:t>8. Обеспечение деятельности Ревизионной комиссии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Немаловажное значение в функционировании Ревизионной комиссии имеет уровень обеспечения ее деятельности.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2020 году Ревизионной комиссией проводилась активная работа по методологическому обеспечению своей деятельности и повышению профессиональной квалификации.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 соответствии с требованиями Положения финансовое и материально-техническое обеспечение Ревизионной комиссии осуществляется за счет средств бюджета Советского района в объеме, позволяющем обеспечить реализацию возложенных на него полномочий. Ревизионная комиссия обеспечена служебным кабинетом и необходимым для работы оборудованием.</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По состоянию на 01.01.2021 года  в нарушение требований ст.5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контрольно-счетный орган муниципального района «Советский район» состоит из одного человека. Деятельность Ревизионной комиссии с момента своего формирования осуществляется одним должностным лицом (председателем).</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b/>
          <w:bCs/>
          <w:color w:val="000000"/>
          <w:sz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r w:rsidRPr="00982002">
        <w:rPr>
          <w:rFonts w:ascii="Tahoma" w:eastAsia="Times New Roman" w:hAnsi="Tahoma" w:cs="Tahoma"/>
          <w:b/>
          <w:bCs/>
          <w:color w:val="000000"/>
          <w:sz w:val="11"/>
          <w:lang w:eastAsia="ru-RU"/>
        </w:rPr>
        <w:t>9. Задачи Ревизионной комиссии на очередной финансовый 2021 год</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Продолжить проведение проверок разработки и реализации районных программ в Советском районе  Курской области, принятых в рамках реализации национальных проектов, утвержденных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Подготовить методические рекомендации по проведению экспертизы документов стратегического планирования, мониторинга, анализа формирования и использования системы целевых показателей при разработке и реализации стратегического планирования, а также проведения стратегического аудита.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Внедрение в практику вопросов постепенного перехода от финансовой проверки освоения средств до оценки конечного результата.</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Оказывать содействие и помощь в дальнейшем развитии и повышении эффективности муниципального финансового контроля.</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 </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Председатель Ревизионной комиссии</w:t>
      </w:r>
    </w:p>
    <w:p w:rsidR="00982002" w:rsidRPr="00982002" w:rsidRDefault="00982002" w:rsidP="00982002">
      <w:pPr>
        <w:shd w:val="clear" w:color="auto" w:fill="EEEEEE"/>
        <w:spacing w:after="0" w:line="240" w:lineRule="auto"/>
        <w:jc w:val="both"/>
        <w:rPr>
          <w:rFonts w:ascii="Tahoma" w:eastAsia="Times New Roman" w:hAnsi="Tahoma" w:cs="Tahoma"/>
          <w:color w:val="000000"/>
          <w:sz w:val="11"/>
          <w:szCs w:val="11"/>
          <w:lang w:eastAsia="ru-RU"/>
        </w:rPr>
      </w:pPr>
      <w:r w:rsidRPr="00982002">
        <w:rPr>
          <w:rFonts w:ascii="Tahoma" w:eastAsia="Times New Roman" w:hAnsi="Tahoma" w:cs="Tahoma"/>
          <w:color w:val="000000"/>
          <w:sz w:val="11"/>
          <w:szCs w:val="11"/>
          <w:lang w:eastAsia="ru-RU"/>
        </w:rPr>
        <w:t>Советского района                                                                         Л.В. Гудилина</w:t>
      </w:r>
    </w:p>
    <w:p w:rsidR="00D847F3" w:rsidRPr="00982002" w:rsidRDefault="00D847F3" w:rsidP="00982002"/>
    <w:sectPr w:rsidR="00D847F3" w:rsidRPr="00982002"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B6227B"/>
    <w:multiLevelType w:val="multilevel"/>
    <w:tmpl w:val="EE5E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F65B70"/>
    <w:multiLevelType w:val="multilevel"/>
    <w:tmpl w:val="4E0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33264A"/>
    <w:multiLevelType w:val="multilevel"/>
    <w:tmpl w:val="18E8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533F48"/>
    <w:multiLevelType w:val="multilevel"/>
    <w:tmpl w:val="B93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
  </w:num>
  <w:num w:numId="5">
    <w:abstractNumId w:val="10"/>
  </w:num>
  <w:num w:numId="6">
    <w:abstractNumId w:val="6"/>
  </w:num>
  <w:num w:numId="7">
    <w:abstractNumId w:val="5"/>
  </w:num>
  <w:num w:numId="8">
    <w:abstractNumId w:val="12"/>
  </w:num>
  <w:num w:numId="9">
    <w:abstractNumId w:val="0"/>
  </w:num>
  <w:num w:numId="10">
    <w:abstractNumId w:val="15"/>
  </w:num>
  <w:num w:numId="11">
    <w:abstractNumId w:val="13"/>
  </w:num>
  <w:num w:numId="12">
    <w:abstractNumId w:val="9"/>
  </w:num>
  <w:num w:numId="13">
    <w:abstractNumId w:val="8"/>
  </w:num>
  <w:num w:numId="14">
    <w:abstractNumId w:val="11"/>
  </w:num>
  <w:num w:numId="15">
    <w:abstractNumId w:val="16"/>
  </w:num>
  <w:num w:numId="16">
    <w:abstractNumId w:val="14"/>
  </w:num>
  <w:num w:numId="17">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12133"/>
    <w:rsid w:val="00122913"/>
    <w:rsid w:val="001250BB"/>
    <w:rsid w:val="00125274"/>
    <w:rsid w:val="0013523C"/>
    <w:rsid w:val="0015015C"/>
    <w:rsid w:val="00167845"/>
    <w:rsid w:val="001737E2"/>
    <w:rsid w:val="00182B22"/>
    <w:rsid w:val="001A217D"/>
    <w:rsid w:val="001A73E9"/>
    <w:rsid w:val="001A7779"/>
    <w:rsid w:val="001B6A58"/>
    <w:rsid w:val="001B7F73"/>
    <w:rsid w:val="001C15E1"/>
    <w:rsid w:val="001C1BBC"/>
    <w:rsid w:val="001C51ED"/>
    <w:rsid w:val="001E07BD"/>
    <w:rsid w:val="001E0DA9"/>
    <w:rsid w:val="001E68B8"/>
    <w:rsid w:val="001F7568"/>
    <w:rsid w:val="00211828"/>
    <w:rsid w:val="002168F8"/>
    <w:rsid w:val="002455B5"/>
    <w:rsid w:val="00261139"/>
    <w:rsid w:val="00261CBA"/>
    <w:rsid w:val="0026529B"/>
    <w:rsid w:val="00265BCA"/>
    <w:rsid w:val="00266637"/>
    <w:rsid w:val="0029178B"/>
    <w:rsid w:val="00293E69"/>
    <w:rsid w:val="00296C40"/>
    <w:rsid w:val="002B1509"/>
    <w:rsid w:val="002B2ED5"/>
    <w:rsid w:val="002B5B92"/>
    <w:rsid w:val="002C6FA1"/>
    <w:rsid w:val="002C7E81"/>
    <w:rsid w:val="002D5D22"/>
    <w:rsid w:val="002D722D"/>
    <w:rsid w:val="002E0350"/>
    <w:rsid w:val="002E1553"/>
    <w:rsid w:val="002E2828"/>
    <w:rsid w:val="002E6090"/>
    <w:rsid w:val="002F13C6"/>
    <w:rsid w:val="002F1C42"/>
    <w:rsid w:val="002F3249"/>
    <w:rsid w:val="002F37F4"/>
    <w:rsid w:val="0030799E"/>
    <w:rsid w:val="00311AB0"/>
    <w:rsid w:val="003238A1"/>
    <w:rsid w:val="00334ADA"/>
    <w:rsid w:val="003351CA"/>
    <w:rsid w:val="003524A6"/>
    <w:rsid w:val="003534B0"/>
    <w:rsid w:val="00391402"/>
    <w:rsid w:val="003932CC"/>
    <w:rsid w:val="003946E0"/>
    <w:rsid w:val="003B0997"/>
    <w:rsid w:val="003C0004"/>
    <w:rsid w:val="003C4887"/>
    <w:rsid w:val="003C7983"/>
    <w:rsid w:val="003E099F"/>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3F2F"/>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1523"/>
    <w:rsid w:val="00572965"/>
    <w:rsid w:val="0057638F"/>
    <w:rsid w:val="005776C4"/>
    <w:rsid w:val="00580FDC"/>
    <w:rsid w:val="0058581F"/>
    <w:rsid w:val="00587821"/>
    <w:rsid w:val="00595B05"/>
    <w:rsid w:val="005B038A"/>
    <w:rsid w:val="005B1C79"/>
    <w:rsid w:val="005B6812"/>
    <w:rsid w:val="005E0555"/>
    <w:rsid w:val="005E351D"/>
    <w:rsid w:val="005E5A08"/>
    <w:rsid w:val="00606C35"/>
    <w:rsid w:val="0060707E"/>
    <w:rsid w:val="006113E5"/>
    <w:rsid w:val="00612407"/>
    <w:rsid w:val="00615F94"/>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55"/>
    <w:rsid w:val="006B215E"/>
    <w:rsid w:val="006B29DA"/>
    <w:rsid w:val="006B633A"/>
    <w:rsid w:val="006B652A"/>
    <w:rsid w:val="006C0014"/>
    <w:rsid w:val="006D0081"/>
    <w:rsid w:val="006D3C50"/>
    <w:rsid w:val="006D5B28"/>
    <w:rsid w:val="006E0AAF"/>
    <w:rsid w:val="006E44D5"/>
    <w:rsid w:val="006E64EE"/>
    <w:rsid w:val="006E7DB0"/>
    <w:rsid w:val="006F48A7"/>
    <w:rsid w:val="007063D7"/>
    <w:rsid w:val="00707104"/>
    <w:rsid w:val="00710C0B"/>
    <w:rsid w:val="00711F94"/>
    <w:rsid w:val="007368BA"/>
    <w:rsid w:val="007377DB"/>
    <w:rsid w:val="007454EA"/>
    <w:rsid w:val="00751F0E"/>
    <w:rsid w:val="00752A13"/>
    <w:rsid w:val="00756AA2"/>
    <w:rsid w:val="00761A79"/>
    <w:rsid w:val="00766BB3"/>
    <w:rsid w:val="0077172C"/>
    <w:rsid w:val="00772559"/>
    <w:rsid w:val="00776D9A"/>
    <w:rsid w:val="00796974"/>
    <w:rsid w:val="007A0860"/>
    <w:rsid w:val="007A5B92"/>
    <w:rsid w:val="007A7807"/>
    <w:rsid w:val="007D46DD"/>
    <w:rsid w:val="007E29B3"/>
    <w:rsid w:val="007E7E97"/>
    <w:rsid w:val="007F0B58"/>
    <w:rsid w:val="007F263C"/>
    <w:rsid w:val="008011A9"/>
    <w:rsid w:val="00804721"/>
    <w:rsid w:val="008049CE"/>
    <w:rsid w:val="00811738"/>
    <w:rsid w:val="00816307"/>
    <w:rsid w:val="00837DB9"/>
    <w:rsid w:val="00847079"/>
    <w:rsid w:val="00857F51"/>
    <w:rsid w:val="008724A7"/>
    <w:rsid w:val="00882E98"/>
    <w:rsid w:val="00884C84"/>
    <w:rsid w:val="008A3985"/>
    <w:rsid w:val="008B23DE"/>
    <w:rsid w:val="008C0105"/>
    <w:rsid w:val="008C1825"/>
    <w:rsid w:val="008C2FF5"/>
    <w:rsid w:val="008C32AF"/>
    <w:rsid w:val="008C6C03"/>
    <w:rsid w:val="008C79C5"/>
    <w:rsid w:val="008D22E4"/>
    <w:rsid w:val="008D58E3"/>
    <w:rsid w:val="008D5F10"/>
    <w:rsid w:val="008D78ED"/>
    <w:rsid w:val="008F0031"/>
    <w:rsid w:val="00905C82"/>
    <w:rsid w:val="00906280"/>
    <w:rsid w:val="00906D0F"/>
    <w:rsid w:val="009208D9"/>
    <w:rsid w:val="00923198"/>
    <w:rsid w:val="009247A7"/>
    <w:rsid w:val="00931EB9"/>
    <w:rsid w:val="009379EE"/>
    <w:rsid w:val="00942DA2"/>
    <w:rsid w:val="00954871"/>
    <w:rsid w:val="00982002"/>
    <w:rsid w:val="00982ABB"/>
    <w:rsid w:val="00984556"/>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66B1"/>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320C3"/>
    <w:rsid w:val="00B41713"/>
    <w:rsid w:val="00B43FDD"/>
    <w:rsid w:val="00B507EA"/>
    <w:rsid w:val="00B5107D"/>
    <w:rsid w:val="00B56650"/>
    <w:rsid w:val="00B56CB5"/>
    <w:rsid w:val="00B65DE1"/>
    <w:rsid w:val="00B66E68"/>
    <w:rsid w:val="00B7168B"/>
    <w:rsid w:val="00B8399F"/>
    <w:rsid w:val="00B9785C"/>
    <w:rsid w:val="00BA3F31"/>
    <w:rsid w:val="00BB51D0"/>
    <w:rsid w:val="00BB72ED"/>
    <w:rsid w:val="00BC555A"/>
    <w:rsid w:val="00BD1FA4"/>
    <w:rsid w:val="00BD6446"/>
    <w:rsid w:val="00BD7FF1"/>
    <w:rsid w:val="00C0499C"/>
    <w:rsid w:val="00C04FBB"/>
    <w:rsid w:val="00C07B88"/>
    <w:rsid w:val="00C20D27"/>
    <w:rsid w:val="00C21A5F"/>
    <w:rsid w:val="00C22B02"/>
    <w:rsid w:val="00C3103B"/>
    <w:rsid w:val="00C35862"/>
    <w:rsid w:val="00C37162"/>
    <w:rsid w:val="00C41CB9"/>
    <w:rsid w:val="00C45F4E"/>
    <w:rsid w:val="00C50608"/>
    <w:rsid w:val="00C5129A"/>
    <w:rsid w:val="00C5257B"/>
    <w:rsid w:val="00C61B1B"/>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85915"/>
    <w:rsid w:val="00D970F1"/>
    <w:rsid w:val="00DA15F3"/>
    <w:rsid w:val="00DA3636"/>
    <w:rsid w:val="00DA4364"/>
    <w:rsid w:val="00DB69B3"/>
    <w:rsid w:val="00DB6CF7"/>
    <w:rsid w:val="00DD09A1"/>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47D"/>
    <w:rsid w:val="00E67E87"/>
    <w:rsid w:val="00E702BD"/>
    <w:rsid w:val="00E73161"/>
    <w:rsid w:val="00E9336C"/>
    <w:rsid w:val="00E95920"/>
    <w:rsid w:val="00E97C54"/>
    <w:rsid w:val="00EA06C8"/>
    <w:rsid w:val="00EA07D9"/>
    <w:rsid w:val="00EA49C7"/>
    <w:rsid w:val="00EA6AC0"/>
    <w:rsid w:val="00EB1D5B"/>
    <w:rsid w:val="00EB416D"/>
    <w:rsid w:val="00EB7599"/>
    <w:rsid w:val="00EC73F7"/>
    <w:rsid w:val="00ED771B"/>
    <w:rsid w:val="00EE1A23"/>
    <w:rsid w:val="00EE5600"/>
    <w:rsid w:val="00EE7C81"/>
    <w:rsid w:val="00EF192C"/>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3802</Words>
  <Characters>21677</Characters>
  <Application>Microsoft Office Word</Application>
  <DocSecurity>0</DocSecurity>
  <Lines>180</Lines>
  <Paragraphs>50</Paragraphs>
  <ScaleCrop>false</ScaleCrop>
  <Company/>
  <LinksUpToDate>false</LinksUpToDate>
  <CharactersWithSpaces>25429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437</cp:revision>
  <dcterms:created xsi:type="dcterms:W3CDTF">2023-09-07T13:12:00Z</dcterms:created>
  <dcterms:modified xsi:type="dcterms:W3CDTF">2023-09-09T09:34:00Z</dcterms:modified>
</cp:coreProperties>
</file>