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Отчет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результатам контрольного мероприятия «Проверка годового отчета об исполнении бюджета муниципального района «Советский  район» за 2022 год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п. Кшенский Курской области                                                22.05.2023 года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      Основание для проведения контрольного мероприятия:</w:t>
      </w:r>
      <w:r>
        <w:rPr>
          <w:rStyle w:val="a5"/>
          <w:rFonts w:ascii="Tahoma" w:hAnsi="Tahoma" w:cs="Tahoma"/>
          <w:b/>
          <w:bCs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п. 2.10 раздела I  плана работы Контрольно-счетного органа - Ревизионной комиссии Советского района Курской области на 2023 год, утвержденного приказом  Председателя Ревизионной комиссии № 46 от 28.12.2022 года, (с изменениями и дополнениями); приказ  Контрольно-счетного органа – Ревизионной комиссии Советского района Курской области «О проведении контрольного мероприятия «Проверка годового отчета об исполнении бюджета муниципального района «Советский  район» Курской области за 2022 год» от 26.04.2023 года № 10.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      Цели контрольного мероприятия: </w:t>
      </w:r>
      <w:r>
        <w:rPr>
          <w:rFonts w:ascii="Tahoma" w:hAnsi="Tahoma" w:cs="Tahoma"/>
          <w:color w:val="000000"/>
          <w:sz w:val="11"/>
          <w:szCs w:val="11"/>
        </w:rPr>
        <w:t>проверить достоверность представленного отчета об исполнении местного бюджета за 2022 год.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3.      Объект контрольного мероприятия: </w:t>
      </w:r>
      <w:r>
        <w:rPr>
          <w:rFonts w:ascii="Tahoma" w:hAnsi="Tahoma" w:cs="Tahoma"/>
          <w:color w:val="000000"/>
          <w:sz w:val="11"/>
          <w:szCs w:val="11"/>
        </w:rPr>
        <w:t>Муниципальный район «Советский район».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4.      Предмет контрольного мероприятия: </w:t>
      </w:r>
      <w:r>
        <w:rPr>
          <w:rFonts w:ascii="Tahoma" w:hAnsi="Tahoma" w:cs="Tahoma"/>
          <w:color w:val="000000"/>
          <w:sz w:val="11"/>
          <w:szCs w:val="11"/>
        </w:rPr>
        <w:t>отчет об исполнении бюджета муниципального района «Советский район» за 2022 год.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5.      Проверяемый период:</w:t>
      </w:r>
      <w:r>
        <w:rPr>
          <w:rFonts w:ascii="Tahoma" w:hAnsi="Tahoma" w:cs="Tahoma"/>
          <w:color w:val="000000"/>
          <w:sz w:val="11"/>
          <w:szCs w:val="11"/>
        </w:rPr>
        <w:t> 2022 год.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 6.       В ходе контрольного мероприятия установлено следующее: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6.1    Анализ исполнения доходов местного бюджета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Доходная часть бюджета муниципального района «Советский район» Курской области в 2022 году исполнена в объеме 1 015 455,4 тыс. рублей или   102,0 % от уровня, предусмотренного решением о бюджете (997 476,9 тыс. рублей), в том числе в разрезе источников доходов: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тыс. рублей</w:t>
      </w:r>
    </w:p>
    <w:tbl>
      <w:tblPr>
        <w:tblW w:w="6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32"/>
        <w:gridCol w:w="1151"/>
        <w:gridCol w:w="964"/>
        <w:gridCol w:w="1058"/>
      </w:tblGrid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показателя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Утверждено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Исполнено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% исполнения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ДОХОДЫ БЮДЖЕТА, ВСЕГО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997 476,9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1 015 455,4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102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227 730,3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246 290,9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108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НАЛОГИ НА ПРИБЫЛЬ, ДОХОДЫ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150 095,4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151 716,4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101,1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 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145 567,8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147 188,8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101,1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НАЛОГИ НА ТОВАРЫ РАБОТЫ УСЛУГИ РЕАЛИЗУЕМЫЕ НА ТЕРРИТОРИИ РОССИЙСКОЙ ФЕДЕРАЦИИ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11 054,7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12 756,5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115,4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Акцизы пор подакцизным товарам производимым на территории РФ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11 054,7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12 756,5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115,4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НАЛОГИ НА СОВОКУПНЫЙ ДОХОД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11 904,8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11 904,8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Налог, взымаемый в связи с применением упрощенной системы налогообложения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1 149,9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1 149,9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Налог, взимаемый налогоплательщиков выбравших в качестве объекта налогообложения доходы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888,1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888,1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7 825,0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7 825,0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ГОСУДАРСТВЕННАЯ ПОШЛИНА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1 973,6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1973,6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26 080,8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34 646,0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132,4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Доходы получаемые в виде арендной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26 080,8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34 646,0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132,4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ПЛАТЕЖИ ПРИ ПОЛЬЗОВАНИИ ПРИРОДНЫМИ РЕСУРСАМИ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79,2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79,2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Плата за негативное воздействие на окружающую среду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79,2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79,2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ДОХОДЫ ОТ ОКАЗАНИЯ ПЛАТНЫХ УСЛУГ, КОМПЕНСАЦИИ ЗАТРАТ ГОСУДАРСТВА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7 844,1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7 844,1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ДОХОДЫ ОТ ПРОДАЖИ МАТЕРИАЛЬНЫХ И НЕМАТЕРИАЛЬНЫХ АКТИВОВ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17 694,7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24 241,9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137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АДМИНИСТРАТИВНЫЕ ПЛАТЕЖИ И СБОРЫ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ШТРАФЫ, САНКЦИИ , ВОЗМЕЩЕНИЕ УЩЕРБА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297,8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297,8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ПРОЧИЕ НЕНАЛОГОВЫЕ ДОХОДЫ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705,1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630,5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89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769 746,6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769 164,6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99,9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БЕЗВОЗМЕЗДНЫЕ ПОСЛУПЛЕНИЯ ОТ ДРУГИХ БЮДЖЕТОВ БЮДЖЕТНОЙ СИСТЕМЫ РОССИЙСКОЙ ФЕДЕРАЦИИ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774 844,6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774 262,5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99,9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30 357,1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30 357,1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100,0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383 143,9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382 934,7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99,9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361 343,6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360 970,7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99,9</w:t>
            </w:r>
          </w:p>
        </w:tc>
      </w:tr>
      <w:tr w:rsidR="001250BB" w:rsidTr="001250BB">
        <w:trPr>
          <w:tblCellSpacing w:w="0" w:type="dxa"/>
        </w:trPr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ПРОЧИЕ БЕЗВОЗМЕЗДНЫЕ ПОСТУПЛЕНИЯ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846,4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846,4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</w:tbl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Перевыполнение прогнозных значений на 17 978,5 тыс. рублей или 2% сложилось в основном за счет незапланированных поступлений доходов в разрезе следующих подгрупп доходов: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      по подгруппе доходов «Налоги на прибыль, доходы» исполнение составило 101,1% от утвержденных бюджетных назначений. При плане 150 095,4 тыс. рублей за 2022 год поступило 151 716,4 тыс. рублей. Поступило сверх утвержденного плана в бюджет муниципального района – 1 621 тыс. рублей, за счет увеличения объема поступлений НДФЛ, в связи с выплатой премий работникам по итогам года;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      по подгруппе доходов «Налоги на товары работы услуги реализуемые на территории Российской Федерации» исполнение составило 115,4 % от утвержденных бюджетных назначений. При плане 11 054,7 тыс. рублей в бюджет поступило 12 756,5 тыс. рублей.;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     по подгруппе доходов «Доходы от использования имущества, находящегося в государственной и муниципальной собственности», исполнение составило 132,4% от утвержденных бюджетных назначений. При плане 26 080,8 тыс. рублей в бюджет поступило 34 646,0 тыс. рублей. Основными причинами перевыполнения на сумму 8565,2 тыс. руб. являются пересмотр (в сторону увеличения) коэффициентов к удельным показателям кадастровой стоимости земель для расчета арендной платы, а также с заключением новых договоров аренды.;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      по подгруппе доходов «Доходы от продажи материальных и нематериальных активов» исполнение составило 137 %. При плане 17 694,7тыс. рублей в бюджет за 2022 год поступило 24 241,9 тыс. рублей. Основной причиной высокого процента исполнения является совершение муниципальным районом незапланированных сделок по продаже земельных участков (план перевыполнен на 6547,2 тыс. руб.).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Указанные доходы по подгруппам «Доходы от продажи материальных и нематериальных активов» и  «Доходы от использования имущества, находящегося в государственной и муниципальной собственности»,  администрируют на уровне муниципалитета, однако, дополнительные доходы по ним, не учтены при планировании и корректировке муниципального бюджета на 2022 год,  на общую сумму 15112,4 тыс. руб., что говорит о недостаточном уровне бюджетного планирования. Кроме того, указанная ситуация не позволила направить дополнительные средства на решение вопросов местного значения муниципального района.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Объем остатков средств муниципального бюджета по итогам 2022 года достиг 76 783,8  тыс. рублей, что сопоставимо с одной треть годовых поступлений по налоговым и неналоговым доходам бюджета муниципального района за 2022 год.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общем объеме доходов бюджета муниципального района в 2022 году наибольшую долю составили безвозмездные поступления – 75,7% (769 164,6 тыс. рублей), доля налоговых и неналоговых доходов составила 24,5 % (246290,8 тыс. рублей).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структуре налоговых доходов основной объем приходится на отчисления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–                  151 716,4 тыс. рублей (14,9% от общего объема доходов  1 015 455,4 тыс. рублей).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Безвозмездные поступления от других бюджетов бюджетной системы РФ исполнены на общую сумму 769 164,6 тыс. рублей и составили 75,7 % от общего объема поступлений, в том числе: дотации в сумме 30 357,1 тыс. рублей, субсидии –382 143,9 тыс. рублей, субвенции – 360 970,7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Возврат остатков субсидий, субвенций и иных межбюджетных трансфертов, имеющих целевое назначение, прошлых лет составил 5 944,33 тыс. рублей, из них: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субвенции на обеспечение мер социальной поддержки ветеранов труда и тружеников тыла в сумме 63,5 тыс. рублей образовался в связи с уменьшением количества получателей средств пособия в связи с переменой места жительства, смертью и установлением инвалидности;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-                   остаток субвенции на обеспечение мер социальной поддержки реабилитированных лиц и лиц признанных пострадавшими от политических репрессий  в сумме 6,7 тыс. рублей образовался в связи с уменьшением количества получателей средств пособия в связи с переменой места жительства, смертью и установлением инвалидности;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субвенции на реализацию Закона Курской области «О предоставлении социальной поддержки отдельным категориям граждан по обеспечению продовольственными товарами» в сумме 20,0 тыс. рублей сложился в связи с уменьшением количества получателей по причине смены места жительства или смерти;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субвенции на ежемесячное пособие на ребенка составил 196,1 тыс. рублей связан с переоформлением пособия до 1 октября 2021 года на основании Закона Курской области от 5 марта 2015 №12;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субвенции на содержание ребенка в семье опекуна и приемной семье, а также вознаграждение, причитающееся приемному родителю в сумме 955,8 тыс. рублей, образовался в связи достижением 18-летнего возраста детей, находящихся под опекой и детей в приемной семье;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субвенции на выплату ежемесячной выплаты на детей в возрасте от трех до семи лет включительно на услуги по пересылке пособий образовался в сумме 637,9 тыс. рублей так как получатели ежемесячной денежной выплаты на ребенка в возрасте от трех до семи лет включительно являются клиентами отделения Сбербанка, по условию договора переводы осуществляются бесплатно;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субвенции по выплате компенсации части родительской платы в сумме 51,8 тыс. рублей, образовался за счет снижения посещаемости детьми дошкольного учреждения;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субсидии по организации питания малоимущим многодетным семьям  в сумме 4,4 тыс. рублей, сложился за счет снижения посещаемости детьми муниципальных общеобразовательных организаций по причине заболеваний;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субсидии на строительство объекта «Водоснабжения с. Липовчик и д. Волжанец Советского района Курской области» составил в сумме  1 780, 7 тыс. рублей, причина неосвоение денежных средств является несвоевременное выполнение подрядчиком работ;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субсидии на софинансирование расходных обязательств муниципального района в связи с организацией отдыха детей в каникулярное время составил в сумме 0,3 тыс. рублей, экономия по торгам;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субсидии на реконструкцию автомобильных дорог составил в сумме 1 985,1 тыс. рублей, неисполнение подрядчиком части обязательств согласно муниципального контракта;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остаток субвенции на организацию мероприятий при осуществлении деятельности по обращению с животными без владельцев в сумме 2,9 тыс. рублей образовался в связи с оплатой фактических расходов согласно актам выполненных работ в соответствии с суммой заключенных контрактов;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Перечнем муниципальных образований Курской области с отнесением их к группам соответственно доле дотаций из других бюджетов бюджетной системы РФ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местного бюджета, утвержденным приказом комитета финансов Курской области от 01.09.2021 года № 136н, в 2022 году Советский муниципальный район относится к муниципалитетам 4-й группы (доля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собственных доходов местного бюджета).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6.2 Анализ исполнения расходной части местного бюджета. Соблюдение ограничений, установленных статьей 136 Бюджетного кодекса РФ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тыс. рублей</w:t>
      </w:r>
    </w:p>
    <w:tbl>
      <w:tblPr>
        <w:tblW w:w="6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28"/>
        <w:gridCol w:w="689"/>
        <w:gridCol w:w="1174"/>
        <w:gridCol w:w="1014"/>
        <w:gridCol w:w="1040"/>
      </w:tblGrid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показателя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Код раздела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Утверждено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Исполнено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% исполнения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РАСХОДЫ БЮДЖЕТА, ВСЕГО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50BB" w:rsidRDefault="001250BB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1 087 145,3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1 028 339,9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94,5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01 00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105 213,9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72 944,1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69,3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Национальная безопасность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03 00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3 424,8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3 424,8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100,0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04 00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155 493,3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133 014,3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85,5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05 00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48 155,5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47 989,4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99,6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Охрана окружающей среды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06 00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598,0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598,0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Образование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07 00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594 196,9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592 702,6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99,7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Культура и кинематография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08 00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85 345,5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84 592,2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99,1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Здравоохранение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09 00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406,7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406,7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100,0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Социальная политика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83 362,8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81 720,0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98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Физкультура и спорт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718,9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718,9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</w:tr>
      <w:tr w:rsidR="001250BB" w:rsidTr="001250BB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14 00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10 228,9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10 228,9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1250BB" w:rsidRDefault="001250B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100,0</w:t>
            </w:r>
          </w:p>
        </w:tc>
      </w:tr>
    </w:tbl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Кассовое исполнение расходов бюджета муниципального района составило 1 028 339,9 тыс. рублей, что составляет 94,5% утвержденных бюджетных ассигнований (1 087 145,3 тыс. рублей). Ассигнования бюджета распределены по 10-и разделам функциональной классификации расходов.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данными отчета об исполнении бюджета за 2022 год бюджетные назначения фактически исполнены в полном объеме по следующим разделам функциональной классификации расходов: «Национальная безопасность», «Здравоохранение»,  «Физкультура и спорт» и «Межбюджетные трансферты общего характера бюджетам бюджетной системы РФ».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Неисполненные назначения расходной части муниципального бюджета составили 58 805,3 тыс. рублей, из них: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 разделу «Общегосударственные вопросы» - 32 269,5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 разделу «Национальная экономика» - 22 478,9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 разделу Жилищно-коммунальное хозяйство –166,0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 разделу «Образование» - 1 494,2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по разделу «Культура и кинематография» - 753,3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по разделу «Социальная политика» - 1 642,9тыс.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Основными направлениями расходных обязательств бюджета в 2022 году являлись обязательства по разделам: «Образование» - 592 702,6 тыс. рублей или 57,6% от общего объема исполненных расходов, «Национальная экономика» - 133 014,3 тыс. рублей или 12,9% от общего объема исполненных расходов,  «Социальная политика» -          81 720,0 тыс. рублей или 7,9% от общего объема исполненных расходов, «Общегосударственные вопросы» - 72 944,1 тыс. рублей или 7,1% от общего объема исполненных расходов, «Культура и кинематография» - 84 592,2 тыс. рублей или 8,2% от общего объема исполненных расходов.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2022 году в соответствии с постановлением Администрации Курской области от 28.12.2021 №1501-па «Об утверждении на 2022 год нормативов формирования расходов на содержание органов местного самоуправления муниципальных образований Курской области» для Советского муниципального района утвержден норматив на содержание органов местного самоуправления в сумме 27 041,2 тыс. рублей. В соответствии с постановлением Администрации Курской области от 12.04.2022 года № 418-па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Советского района увеличен на 1,086 и составил 29 366,7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Согласно представленному годовому отчету об исполнении муниципального бюджета за 2022 год кассовые расходы на содержание органов местного самоуправления составили 28 596,8 тыс. рублей или 97,4% от нормативных годовых значений, в том числе: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      20 201,0 тыс. рублей – содержание Администрации Советского  района из них: расходы по подразделу 0102 «Функционирование высшего должностного лица субъекта РФ и муниципального образования» – 1 711,9 тыс. рублей, расходы по подразделу 0104 «Функционирование Правительства РФ, высших исполнительных органов государственной власти субъектов РФ, местных администраций» – 16 105,8 тыс. рублей, расходы по подразделу 0113 «Другие общегосударственные вопросы» – 1 742,6 тыс. рублей, расходы по подразделу 0401 «Общеэкономические вопросы» - 199,9 тыс. рублей, расходы по подразделу 1006 «Другие вопросы в области социальной политики» составили 440,8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      по подразделу 0804 (Обеспечение деятельности и выполнение функций органов местного самоуправления содержание Управления культуры администрации Советского района Курской области) – 801,3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     по подразделу 0709 (Обеспечение деятельности и выполнение функций органов местного самоуправления, содержание Управления образования администрации Советского района Курской области) – 1 819,6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      по подразделу 0106 (Обеспечение деятельности финансовых, налоговых и таможенных органов, содержание Управления финансов администрации Советского района Курской области и Контрольно-счетного органа Советского района   – 4 388,1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      по подразделу 0103 (Функционирование законодательных (представительных) органов государственной власти и представительных органов муниципальных образований, содержание Представительного Собрания Советского района Курской области и Контрольно-счетного органа Советского района.  – 1 386,8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Доведенный комитетом финансов Курской области норматив формирования расходов на содержание органов местного самоуправления не превышен.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6.3    Анализ источников финансирования дефицита бюджета. Соблюдение ограничений, установленных ст. 92.1 Бюджетного кодекса РФ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Бюджет муниципального района «Советский район» Курской области за 2022 год исполнен с дефицитом – 12 884,6 тыс. рублей (доходы исполнены в сумме – 1 015 455,4 тыс. рублей, расходы исполнены в сумме – 1 028 339,9 тыс. рублей), что не противоречит требованиям по уровню дефицита местного бюджета, предусмотренным ст. 92.1 Бюджетного кодекса Российской Федерации.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6.4    Анализ муниципального долга. Соблюдение ограничений, установленных ст.107 Бюджетного кодекса РФ в части предельного объема муниципального долга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Муниципальный долг по данным бюджетной отчетности на 01.01.2022 года и 01.01.2023 года отсутствует.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6.5    Анализ баланса (дебиторской и кредиторской задолженности)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Данные баланса по разделу I «Нефинансовые активы» на начало 2022 года составили 712 967,4 тыс. рублей: основные средства (остаточная стоимость) – 255 206,0 тыс. рублей, непроизведенные активы – 323 373,4 тыс. рублей, материальные запасы – 11 277,4 тыс. рублей, вложения в нефинансовые активы – 48 394,7 тыс. рублей, нефинансовые активы имущества казны (остаточная стоимость) – 74 715,9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конец 2022 года по разделу I «Нефинансовые активы» данные баланса составили 1 134388,6 тыс. рублей: основные средства (остаточная стоимость) – 262 333,9 тыс. рублей, непроизведенные активы – 589 954,7 тыс. рублей, материальные запасы – 12 313,1 тыс. рублей, вложения в нефинансовые активы – 130 168,3 тыс. рублей, нефинансовые активы имущества казны (остаточная стоимость) – 139 618,8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Данные баланса по разделу II «Финансовые активы» на начало 2022 года составили 1693443,8 тыс. рублей: средства на счетах бюджета в органе Федерального казначейства – 89 668,3 тыс. рублей, «Дебиторская задолженность по доходам– 1602865,4 тыс. рублей, из них долгосрочная –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72984,4 тыс. рубля.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На конец 2023 года по разделу II «Финансовые активы» данные баланса составили 2240602,5 тыс. рублей: средства на счетах бюджета в органе Федерального казначейства – 76783,8 тыс. рублей, «Дебиторская задолженность по доходам– 2162908,5 тыс. рублей, из них долгосрочная - 72984,4 тыс. рубля.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Данные баланса по разделу III «Обязательства» на начало 2023 года –      1 614 027,5 тыс. рублей «Кредиторская задолженность по доходам» - 592,5 тыс. рублей, «Доходы будущих периодов» - 1 59 274,8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конец 2023 года по разделу III «Обязательства» составили 2162979,6 тыс. рублей «Расчеты по платежам в бюджеты» - 1288,7,3 рублей, «Кредиторская задолженность по доходам» - 375,8 тыс. рублей; «Доходы будущих периодов» - 2160066,3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состоянию на 01.01.2023 г. сложилась дебиторская задолженность в сумме 2162908,5 тыс. рублей - дебиторская задолженность по доходам.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Кредиторская задолженность на 01.01.2023 г. составила 2913,3 тыс. рублей в том числе по счетам: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205 11 000 «Расчеты с плательщиками налоговых доходов» 0,4 тыс. рублей – задолженность плательщиков по отмененным налогам и сборам перед УФНС России по Курской области;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205 23 000 «Расчеты по доходам от собственности» в сумме 309,2 тыс. рублей;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205 81 000 «Расчеты по невыясненным поступлениям» в сумме 66,1 тыс. рублей – невыясненные поступления доходов в бюджет 30.12.2022 г.;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303 05 000 «Расчеты по прочим платежам в бюджет» в сумме 1288,7 тыс. рублей отражена задолженность по возврату остатков целевых межбюджетных трансфертов в областной бюджет.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состоянию на 01.01.2023 г. по консолидированной отчетности муниципального района «Советский район» просроченной дебиторской и кредиторской задолженности нет.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нарушение требований, предъявляемых статьей 11 Федерального закона от 6 декабря 2011 г. N 402-ФЗ «О бухгалтерском учете», пункта 7 Инструкции № 191н, Методических указаний по инвентаризации имущества и финансовых обязательств, утвержденных Приказом Минфина РФ от 13.06.1995 N 49, приказа Минфина РФ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отчётности организаций государственного сектора», Приказа Минфина РФ от 13 июня 1995 г. № 49 «Об утверждении Методических указаний по инвентаризации имущества и финансовых обязательств»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инвентаризация имущества и обязательств перед составлением годовой отчетности не проводилась Администрацией Советского района </w:t>
      </w:r>
      <w:r>
        <w:rPr>
          <w:rStyle w:val="a5"/>
          <w:rFonts w:ascii="Tahoma" w:hAnsi="Tahoma" w:cs="Tahoma"/>
          <w:color w:val="000000"/>
          <w:sz w:val="11"/>
          <w:szCs w:val="11"/>
        </w:rPr>
        <w:t>(пункт 2.4 «Несоблюдение требований к содержанию документации (извещения) о закупке» Классификатора нарушений, выявляемых в ходе внешнего государственного аудита (контроля), утвержденного постановлением Коллегии Счетной палаты Российской Федерации от 21.12.2021 года № 14ПК).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Аналогичные факты нарушений установлены Ревизионной комиссией Советского района при проведении проверки годовой бюджетной отчетности исполнения бюджета в структурных подразделениях Администрации, главных распорядителей бюджетных средств за 2022 год – Управления культуры Администрации Советского района (акт проверки от 22.02.2023 года и Админисрации  Советского района  акт проверки от 10.02.2023года).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5"/>
          <w:rFonts w:ascii="Tahoma" w:hAnsi="Tahoma" w:cs="Tahoma"/>
          <w:color w:val="000000"/>
        </w:rPr>
        <w:t>6.6 Анализ использования бюджетных средств, выделенных на реализацию региональных проектов, достижения установленных целей и показателей.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рамках нацпроекта в бюджет муниципального района «Советский район» в 2022 году поступало субсидий  н общую сумму 32236,1 тыс. рублей, в том числе: Национальный проект «Образование»  на сумму 2251,8 тыс. руб., национальный проект «Культура» на сумму 6700,1 тыс. руб., национальный проект «Жилье и городская среда на сумму 22884,2 тыс. руб., национальный проект «Экология» на сумму 400,0 тыс. руб.. Кассовое исполнение  составило 32062,8 тыс. руб.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6.7    Наличие объектов незавершенного строительства по состоянию на 31.12.2022 года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данным бухгалтерской отчетности, с учетом данных формы 0503190 «Сведения о вложениях в объекты недвижимого имущества, объектах незавершенного строительства» по состоянию на 31.12.2022 года, числятся 2 объекта незавершенного строительства на общую сумму 193696,8 тыс. рублей, в том числе: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запланирована «Реконструкция автомобильной дороги «38236 ОПМР 0003 д. Волжанец –с. Мелехово», сметная стоимость в сумме 229768,8 тыс. рублей. Выполнены работы по объекту на сумму 63396,9 тыс. рублей (Строительство не закончено.);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запланировано строительство автомобильной дороги «Проезд по с. Петрово-Карцево Советского района Курской области» со сметной стоимостью 27 327,3 тыс. рублей. Выполнены проектные и изыскательные работы по объекту на сумму 2 440,0 тыс. рублей (строительство не начато);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Выводы по результатам контрольного мероприятия: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     Отчет муниципального района «Советский район» Курской области об исполнении местного бюджета за 2022 год представлен в соответствии с требованиями статьи 264.1 БК РФ.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     Доходная часть бюджета муниципального района «Советский район» Курской области в 2022 году исполнена в объеме 1 015 455,4 тыс. рублей или   102,0 % от уровня, предусмотренного решением о бюджете (997 476,9 тыс. рублей). Перевыполнение прогнозных значений на 17 978,5 тыс. рублей.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     Кассовое исполнение расходов бюджета муниципального района составило 1 028 339,9 тыс. рублей, что составляет 94,5% утвержденных бюджетных ассигнований (1 087 145,3 тыс. рублей).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      Объем остатков средств муниципального бюджета по итогам 2022 года составил 76 783,8  тыс. рублей.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     Доведенный комитетом финансов Курской области норматив формирования расходов на содержание органов местного самоуправления не превышен.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</w:t>
      </w:r>
      <w:r>
        <w:rPr>
          <w:rFonts w:ascii="Tahoma" w:hAnsi="Tahoma" w:cs="Tahoma"/>
          <w:color w:val="000000"/>
          <w:sz w:val="11"/>
          <w:szCs w:val="11"/>
        </w:rPr>
        <w:t>Муниципальный долг по данным бюджетной отчетности муниципального образования на начало и конец года отсутствует.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      Бюджет муниципального района «Советский район» Курской области за 2022 год исполнен с дефицитом – 12 884,6 тыс. рублей (доходы исполнены в сумме – 1 015 455,4 тыс. рублей, расходы исполнены в сумме – 1 028 339,9 тыс. рублей), что не противоречит требованиям по уровню дефицита местного бюджета, предусмотренным ст. 92.1 Бюджетного кодекса Российской Федерации.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      В ходе проведения контрольного мероприятия установлены следующие нарушения: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8.1    В нарушение требований, предъявляемых статьей 11 Федерального закона от 6 декабря 2011 г. N 402-ФЗ «О бухгалтерском учете», пункта 7 Инструкции № 191н, Методических указаний по инвентаризации имущества и финансовых обязательств, утвержденных Приказом Минфина РФ от 13.06.1995 N 49, приказа Минфина РФ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отчётности организаций государственного сектора», Приказа Минфина РФ от 13 июня 1995 г. № 49 «Об утверждении Методических указаний по инвентаризации имущества и финансовых обязательств» инвентаризация имущества и обязательств перед составлением годовой отчетности не проводилась Администрацией Советского района </w:t>
      </w:r>
      <w:r>
        <w:rPr>
          <w:rStyle w:val="a5"/>
          <w:rFonts w:ascii="Tahoma" w:hAnsi="Tahoma" w:cs="Tahoma"/>
          <w:color w:val="000000"/>
          <w:sz w:val="11"/>
          <w:szCs w:val="11"/>
        </w:rPr>
        <w:t>(пункт 2.4 «Несоблюдение требований к содержанию документации (извещения) о закупке» Классификатора нарушений, выявляемых в ходе внешнего государственного аудита (контроля), утвержденного постановлением Коллегии Счетной палаты Российской Федерации от 21.12.2021 года № 14ПК).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Контрольно-счетного органа</w:t>
      </w:r>
    </w:p>
    <w:p w:rsidR="001250BB" w:rsidRDefault="001250BB" w:rsidP="001250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 Курской области                                          Л.В. Гудилина</w:t>
      </w:r>
    </w:p>
    <w:p w:rsidR="00D847F3" w:rsidRPr="001250BB" w:rsidRDefault="00D847F3" w:rsidP="001250BB"/>
    <w:sectPr w:rsidR="00D847F3" w:rsidRPr="001250BB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250BB"/>
    <w:rsid w:val="001737E2"/>
    <w:rsid w:val="002168F8"/>
    <w:rsid w:val="00265BCA"/>
    <w:rsid w:val="00266637"/>
    <w:rsid w:val="002C6FA1"/>
    <w:rsid w:val="003238A1"/>
    <w:rsid w:val="00423EF0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B7265"/>
    <w:rsid w:val="00AC770F"/>
    <w:rsid w:val="00AF7AF1"/>
    <w:rsid w:val="00B41713"/>
    <w:rsid w:val="00B5107D"/>
    <w:rsid w:val="00B56650"/>
    <w:rsid w:val="00B65DE1"/>
    <w:rsid w:val="00BB72ED"/>
    <w:rsid w:val="00C04FBB"/>
    <w:rsid w:val="00C35862"/>
    <w:rsid w:val="00CB7143"/>
    <w:rsid w:val="00CD7351"/>
    <w:rsid w:val="00D1649A"/>
    <w:rsid w:val="00D341A8"/>
    <w:rsid w:val="00D40A4E"/>
    <w:rsid w:val="00D76A39"/>
    <w:rsid w:val="00D847F3"/>
    <w:rsid w:val="00DA3636"/>
    <w:rsid w:val="00E06F2D"/>
    <w:rsid w:val="00E07F53"/>
    <w:rsid w:val="00E11C8F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3928</Words>
  <Characters>22390</Characters>
  <Application>Microsoft Office Word</Application>
  <DocSecurity>0</DocSecurity>
  <Lines>186</Lines>
  <Paragraphs>52</Paragraphs>
  <ScaleCrop>false</ScaleCrop>
  <Company/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2023-09-07T13:12:00Z</dcterms:created>
  <dcterms:modified xsi:type="dcterms:W3CDTF">2023-09-08T15:28:00Z</dcterms:modified>
</cp:coreProperties>
</file>