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Pr="00B65177" w:rsidRDefault="00F13A31" w:rsidP="00EB6CFA">
      <w:pPr>
        <w:pStyle w:val="a7"/>
        <w:ind w:left="4536"/>
        <w:jc w:val="right"/>
        <w:rPr>
          <w:rFonts w:ascii="Times New Roman" w:hAnsi="Times New Roman"/>
          <w:sz w:val="16"/>
          <w:szCs w:val="16"/>
        </w:rPr>
      </w:pPr>
      <w:proofErr w:type="gramStart"/>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от 18.01.2022 №43, от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w:t>
      </w:r>
      <w:proofErr w:type="gramEnd"/>
      <w:r w:rsidR="00240221">
        <w:rPr>
          <w:rFonts w:ascii="Times New Roman" w:hAnsi="Times New Roman"/>
          <w:sz w:val="16"/>
          <w:szCs w:val="16"/>
        </w:rPr>
        <w:t>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BF6A6A" w:rsidRPr="00B65177">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A02C79"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Программа осущ</w:t>
            </w:r>
            <w:r w:rsidR="00B607F8" w:rsidRPr="00B65177">
              <w:rPr>
                <w:rFonts w:ascii="Times New Roman" w:hAnsi="Times New Roman" w:cs="Times New Roman"/>
                <w:sz w:val="20"/>
                <w:szCs w:val="20"/>
              </w:rPr>
              <w:t xml:space="preserve">ествляется в течение </w:t>
            </w:r>
            <w:r w:rsidR="00057CFD" w:rsidRPr="00B65177">
              <w:rPr>
                <w:rFonts w:ascii="Times New Roman" w:hAnsi="Times New Roman" w:cs="Times New Roman"/>
                <w:sz w:val="20"/>
                <w:szCs w:val="20"/>
              </w:rPr>
              <w:t>2015-2</w:t>
            </w:r>
            <w:r w:rsidR="00591B6C" w:rsidRPr="00B65177">
              <w:rPr>
                <w:rFonts w:ascii="Times New Roman" w:hAnsi="Times New Roman" w:cs="Times New Roman"/>
                <w:sz w:val="20"/>
                <w:szCs w:val="20"/>
              </w:rPr>
              <w:t>02</w:t>
            </w:r>
            <w:r w:rsidR="00926166">
              <w:rPr>
                <w:rFonts w:ascii="Times New Roman" w:hAnsi="Times New Roman" w:cs="Times New Roman"/>
                <w:sz w:val="20"/>
                <w:szCs w:val="20"/>
              </w:rPr>
              <w:t>5</w:t>
            </w:r>
            <w:r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057CFD" w:rsidRPr="00B65177">
              <w:rPr>
                <w:rFonts w:ascii="Times New Roman" w:hAnsi="Times New Roman" w:cs="Times New Roman"/>
                <w:sz w:val="20"/>
                <w:szCs w:val="20"/>
              </w:rPr>
              <w:t>в два</w:t>
            </w:r>
            <w:r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F53782">
              <w:rPr>
                <w:rFonts w:ascii="Times New Roman" w:hAnsi="Times New Roman" w:cs="Times New Roman"/>
                <w:sz w:val="20"/>
                <w:szCs w:val="20"/>
              </w:rPr>
              <w:t>30446,42424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990617">
              <w:rPr>
                <w:rFonts w:ascii="Times New Roman" w:hAnsi="Times New Roman" w:cs="Times New Roman"/>
                <w:sz w:val="20"/>
                <w:szCs w:val="20"/>
              </w:rPr>
              <w:t>год  - 4475</w:t>
            </w:r>
            <w:r w:rsidR="00F53782">
              <w:rPr>
                <w:rFonts w:ascii="Times New Roman" w:hAnsi="Times New Roman" w:cs="Times New Roman"/>
                <w:sz w:val="20"/>
                <w:szCs w:val="20"/>
              </w:rPr>
              <w:t>,738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F53782" w:rsidRPr="00F53782">
              <w:rPr>
                <w:rFonts w:ascii="Times New Roman" w:hAnsi="Times New Roman" w:cs="Times New Roman"/>
                <w:sz w:val="20"/>
                <w:szCs w:val="20"/>
              </w:rPr>
              <w:t xml:space="preserve">30082,11897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965B6B">
              <w:rPr>
                <w:rFonts w:ascii="Times New Roman" w:hAnsi="Times New Roman" w:cs="Times New Roman"/>
                <w:sz w:val="20"/>
                <w:szCs w:val="20"/>
              </w:rPr>
              <w:t>4385</w:t>
            </w:r>
            <w:r w:rsidR="00F53782">
              <w:rPr>
                <w:rFonts w:ascii="Times New Roman" w:hAnsi="Times New Roman" w:cs="Times New Roman"/>
                <w:sz w:val="20"/>
                <w:szCs w:val="20"/>
              </w:rPr>
              <w:t>,738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F3754C" w:rsidRPr="00F3754C">
              <w:rPr>
                <w:rFonts w:ascii="Times New Roman" w:hAnsi="Times New Roman"/>
                <w:sz w:val="20"/>
                <w:szCs w:val="20"/>
              </w:rPr>
              <w:t xml:space="preserve">364,30527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bookmarkStart w:id="0" w:name="_GoBack"/>
            <w:bookmarkEnd w:id="0"/>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A003F">
              <w:rPr>
                <w:rFonts w:ascii="Times New Roman" w:hAnsi="Times New Roman" w:cs="Times New Roman"/>
                <w:sz w:val="20"/>
                <w:szCs w:val="20"/>
              </w:rPr>
              <w:t>2023 год-   90</w:t>
            </w:r>
            <w:r w:rsidR="00F53782">
              <w:rPr>
                <w:rFonts w:ascii="Times New Roman" w:hAnsi="Times New Roman" w:cs="Times New Roman"/>
                <w:sz w:val="20"/>
                <w:szCs w:val="20"/>
              </w:rPr>
              <w:t>,000</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w:t>
      </w:r>
      <w:proofErr w:type="spellStart"/>
      <w:proofErr w:type="gramStart"/>
      <w:r w:rsidRPr="00B65177">
        <w:rPr>
          <w:rFonts w:ascii="Times New Roman" w:hAnsi="Times New Roman"/>
          <w:b/>
          <w:sz w:val="20"/>
          <w:szCs w:val="20"/>
        </w:rPr>
        <w:t>муниц</w:t>
      </w:r>
      <w:proofErr w:type="spellEnd"/>
      <w:r w:rsidR="00877F30">
        <w:rPr>
          <w:rFonts w:ascii="Times New Roman" w:hAnsi="Times New Roman"/>
          <w:b/>
          <w:sz w:val="20"/>
          <w:szCs w:val="20"/>
        </w:rPr>
        <w:t xml:space="preserve">   </w:t>
      </w:r>
      <w:proofErr w:type="spellStart"/>
      <w:r w:rsidRPr="00B65177">
        <w:rPr>
          <w:rFonts w:ascii="Times New Roman" w:hAnsi="Times New Roman"/>
          <w:b/>
          <w:sz w:val="20"/>
          <w:szCs w:val="20"/>
        </w:rPr>
        <w:t>ипальной</w:t>
      </w:r>
      <w:proofErr w:type="spellEnd"/>
      <w:proofErr w:type="gramEnd"/>
      <w:r w:rsidRPr="00B65177">
        <w:rPr>
          <w:rFonts w:ascii="Times New Roman" w:hAnsi="Times New Roman"/>
          <w:b/>
          <w:sz w:val="20"/>
          <w:szCs w:val="20"/>
        </w:rPr>
        <w:t xml:space="preserve">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w:t>
      </w:r>
      <w:r w:rsidR="00C744F5" w:rsidRPr="00B65177">
        <w:rPr>
          <w:rFonts w:ascii="Times New Roman" w:hAnsi="Times New Roman" w:cs="Times New Roman"/>
          <w:sz w:val="20"/>
          <w:szCs w:val="20"/>
        </w:rPr>
        <w:lastRenderedPageBreak/>
        <w:t>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EE52D1" w:rsidRPr="00B65177">
        <w:rPr>
          <w:rFonts w:ascii="Times New Roman" w:hAnsi="Times New Roman" w:cs="Times New Roman"/>
          <w:sz w:val="20"/>
          <w:szCs w:val="20"/>
        </w:rPr>
        <w:t>Программа ос</w:t>
      </w:r>
      <w:r w:rsidR="00632687">
        <w:rPr>
          <w:rFonts w:ascii="Times New Roman" w:hAnsi="Times New Roman" w:cs="Times New Roman"/>
          <w:sz w:val="20"/>
          <w:szCs w:val="20"/>
        </w:rPr>
        <w:t>уществляется в течение 2015-2025</w:t>
      </w:r>
      <w:r w:rsidR="00EE52D1" w:rsidRPr="00B65177">
        <w:rPr>
          <w:rFonts w:ascii="Times New Roman" w:hAnsi="Times New Roman" w:cs="Times New Roman"/>
          <w:sz w:val="20"/>
          <w:szCs w:val="20"/>
        </w:rPr>
        <w:t xml:space="preserve"> года  в два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E446AB"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lastRenderedPageBreak/>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lastRenderedPageBreak/>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lastRenderedPageBreak/>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lastRenderedPageBreak/>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useFELayout/>
  </w:compat>
  <w:rsids>
    <w:rsidRoot w:val="00C744F5"/>
    <w:rsid w:val="000037EA"/>
    <w:rsid w:val="000123C9"/>
    <w:rsid w:val="00024A02"/>
    <w:rsid w:val="000309BD"/>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35CD9"/>
    <w:rsid w:val="00143684"/>
    <w:rsid w:val="00154979"/>
    <w:rsid w:val="00162F05"/>
    <w:rsid w:val="00176312"/>
    <w:rsid w:val="00184745"/>
    <w:rsid w:val="001851F6"/>
    <w:rsid w:val="00194C4C"/>
    <w:rsid w:val="001A0318"/>
    <w:rsid w:val="001C42AD"/>
    <w:rsid w:val="001D1F0C"/>
    <w:rsid w:val="001D7530"/>
    <w:rsid w:val="001E44D2"/>
    <w:rsid w:val="001E7554"/>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24EF8"/>
    <w:rsid w:val="00827979"/>
    <w:rsid w:val="00827B03"/>
    <w:rsid w:val="0083167F"/>
    <w:rsid w:val="0083710B"/>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90617"/>
    <w:rsid w:val="009A1058"/>
    <w:rsid w:val="009C4D9E"/>
    <w:rsid w:val="009C6E8A"/>
    <w:rsid w:val="009F04E1"/>
    <w:rsid w:val="009F21DD"/>
    <w:rsid w:val="00A02C79"/>
    <w:rsid w:val="00A06128"/>
    <w:rsid w:val="00A1039B"/>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4E5E"/>
    <w:rsid w:val="00B55201"/>
    <w:rsid w:val="00B5643F"/>
    <w:rsid w:val="00B607F8"/>
    <w:rsid w:val="00B64565"/>
    <w:rsid w:val="00B65177"/>
    <w:rsid w:val="00B8008C"/>
    <w:rsid w:val="00B819EB"/>
    <w:rsid w:val="00B868C8"/>
    <w:rsid w:val="00B93413"/>
    <w:rsid w:val="00B946CF"/>
    <w:rsid w:val="00B9644E"/>
    <w:rsid w:val="00B96D34"/>
    <w:rsid w:val="00BA003F"/>
    <w:rsid w:val="00BA2843"/>
    <w:rsid w:val="00BB7228"/>
    <w:rsid w:val="00BC1A48"/>
    <w:rsid w:val="00BC5DFF"/>
    <w:rsid w:val="00BD41B9"/>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D508B"/>
    <w:rsid w:val="00CE4CFF"/>
    <w:rsid w:val="00CE60EF"/>
    <w:rsid w:val="00CF518A"/>
    <w:rsid w:val="00CF6BA4"/>
    <w:rsid w:val="00D033D7"/>
    <w:rsid w:val="00D17153"/>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446AB"/>
    <w:rsid w:val="00E7217F"/>
    <w:rsid w:val="00E8249B"/>
    <w:rsid w:val="00E84FE7"/>
    <w:rsid w:val="00E934FC"/>
    <w:rsid w:val="00E943A5"/>
    <w:rsid w:val="00E965BA"/>
    <w:rsid w:val="00EA2699"/>
    <w:rsid w:val="00EA26DE"/>
    <w:rsid w:val="00EB0EBD"/>
    <w:rsid w:val="00EB1FED"/>
    <w:rsid w:val="00EB6CFA"/>
    <w:rsid w:val="00EC4995"/>
    <w:rsid w:val="00ED1C83"/>
    <w:rsid w:val="00ED241B"/>
    <w:rsid w:val="00EE016A"/>
    <w:rsid w:val="00EE1C95"/>
    <w:rsid w:val="00EE47FE"/>
    <w:rsid w:val="00EE52D1"/>
    <w:rsid w:val="00EF5C7D"/>
    <w:rsid w:val="00F05911"/>
    <w:rsid w:val="00F07DC6"/>
    <w:rsid w:val="00F1284C"/>
    <w:rsid w:val="00F13A31"/>
    <w:rsid w:val="00F34C41"/>
    <w:rsid w:val="00F35508"/>
    <w:rsid w:val="00F3754C"/>
    <w:rsid w:val="00F41155"/>
    <w:rsid w:val="00F44661"/>
    <w:rsid w:val="00F44BEE"/>
    <w:rsid w:val="00F45BEF"/>
    <w:rsid w:val="00F517D0"/>
    <w:rsid w:val="00F53782"/>
    <w:rsid w:val="00F56ABA"/>
    <w:rsid w:val="00F640F6"/>
    <w:rsid w:val="00F67800"/>
    <w:rsid w:val="00F7579D"/>
    <w:rsid w:val="00F76186"/>
    <w:rsid w:val="00F77196"/>
    <w:rsid w:val="00F9681C"/>
    <w:rsid w:val="00FA102A"/>
    <w:rsid w:val="00FB00F7"/>
    <w:rsid w:val="00FC3EA4"/>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516F9-FD58-4D9C-B786-2AC15706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8</Pages>
  <Words>5403</Words>
  <Characters>30803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107</cp:revision>
  <cp:lastPrinted>2023-01-26T11:54:00Z</cp:lastPrinted>
  <dcterms:created xsi:type="dcterms:W3CDTF">2017-11-15T12:15:00Z</dcterms:created>
  <dcterms:modified xsi:type="dcterms:W3CDTF">2023-03-17T12:28:00Z</dcterms:modified>
</cp:coreProperties>
</file>