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r w:rsidR="00270F58">
        <w:rPr>
          <w:rFonts w:ascii="Times New Roman" w:hAnsi="Times New Roman"/>
          <w:sz w:val="16"/>
          <w:szCs w:val="16"/>
        </w:rPr>
        <w:t>0.06.2023 №638, от 21.09.2023 №909</w:t>
      </w:r>
      <w:r w:rsidR="00A12929">
        <w:rPr>
          <w:rFonts w:ascii="Times New Roman" w:hAnsi="Times New Roman"/>
          <w:sz w:val="16"/>
          <w:szCs w:val="16"/>
        </w:rPr>
        <w:t>, от 09.11.2023 №1050</w:t>
      </w:r>
      <w:r w:rsidR="00FF01D5">
        <w:rPr>
          <w:rFonts w:ascii="Times New Roman" w:hAnsi="Times New Roman"/>
          <w:sz w:val="16"/>
          <w:szCs w:val="16"/>
        </w:rPr>
        <w:t>, от 26.01.2024 №85,</w:t>
      </w:r>
    </w:p>
    <w:p w:rsidR="00807DE2" w:rsidRPr="00B65177" w:rsidRDefault="00F5528E" w:rsidP="00EB6CFA">
      <w:pPr>
        <w:pStyle w:val="a7"/>
        <w:ind w:left="4536"/>
        <w:jc w:val="right"/>
        <w:rPr>
          <w:rFonts w:ascii="Times New Roman" w:hAnsi="Times New Roman"/>
          <w:sz w:val="16"/>
          <w:szCs w:val="16"/>
        </w:rPr>
      </w:pPr>
      <w:r>
        <w:rPr>
          <w:rFonts w:ascii="Times New Roman" w:hAnsi="Times New Roman"/>
          <w:sz w:val="16"/>
          <w:szCs w:val="16"/>
        </w:rPr>
        <w:t xml:space="preserve">от 09.02.2024 №142,  </w:t>
      </w:r>
      <w:r w:rsidR="00FF01D5">
        <w:rPr>
          <w:rFonts w:ascii="Times New Roman" w:hAnsi="Times New Roman"/>
          <w:sz w:val="16"/>
          <w:szCs w:val="16"/>
        </w:rPr>
        <w:t>от</w:t>
      </w:r>
      <w:r w:rsidR="00113B89">
        <w:rPr>
          <w:rFonts w:ascii="Times New Roman" w:hAnsi="Times New Roman"/>
          <w:sz w:val="16"/>
          <w:szCs w:val="16"/>
        </w:rPr>
        <w:t xml:space="preserve"> 20.03.2024  № 248</w:t>
      </w:r>
      <w:r w:rsidR="00807DE2">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B6741D" w:rsidP="00385F38">
            <w:pPr>
              <w:spacing w:after="0" w:line="240" w:lineRule="auto"/>
              <w:rPr>
                <w:rFonts w:ascii="Times New Roman" w:hAnsi="Times New Roman" w:cs="Times New Roman"/>
                <w:caps/>
                <w:sz w:val="20"/>
                <w:szCs w:val="20"/>
              </w:rPr>
            </w:pPr>
            <w:r>
              <w:rPr>
                <w:rFonts w:ascii="Times New Roman" w:hAnsi="Times New Roman" w:cs="Times New Roman"/>
                <w:sz w:val="20"/>
                <w:szCs w:val="20"/>
              </w:rPr>
              <w:t>Отдел по делам  ГО и ЧС Администрации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МКУ «Единая дежурно-диспетчерская служба Советского района Курской </w:t>
            </w:r>
            <w:bookmarkStart w:id="0" w:name="_GoBack"/>
            <w:bookmarkEnd w:id="0"/>
            <w:r w:rsidRPr="00B65177">
              <w:rPr>
                <w:rFonts w:ascii="Times New Roman" w:hAnsi="Times New Roman" w:cs="Times New Roman"/>
                <w:sz w:val="20"/>
                <w:szCs w:val="20"/>
              </w:rPr>
              <w:t>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r w:rsidR="00F5528E">
              <w:rPr>
                <w:rFonts w:ascii="Times New Roman" w:hAnsi="Times New Roman"/>
                <w:sz w:val="20"/>
                <w:szCs w:val="20"/>
              </w:rPr>
              <w:t xml:space="preserve"> </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807DE2" w:rsidP="00057CF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Программа реализуется </w:t>
            </w:r>
            <w:r w:rsidR="00B607F8" w:rsidRPr="00B65177">
              <w:rPr>
                <w:rFonts w:ascii="Times New Roman" w:hAnsi="Times New Roman" w:cs="Times New Roman"/>
                <w:sz w:val="20"/>
                <w:szCs w:val="20"/>
              </w:rPr>
              <w:t xml:space="preserve">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00A02C79"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00A02C79"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lastRenderedPageBreak/>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B408B4">
              <w:rPr>
                <w:rFonts w:ascii="Times New Roman" w:hAnsi="Times New Roman" w:cs="Times New Roman"/>
                <w:sz w:val="20"/>
                <w:szCs w:val="20"/>
              </w:rPr>
              <w:t>34995,364</w:t>
            </w:r>
            <w:r w:rsidR="001F23F9">
              <w:rPr>
                <w:rFonts w:ascii="Times New Roman" w:hAnsi="Times New Roman" w:cs="Times New Roman"/>
                <w:sz w:val="20"/>
                <w:szCs w:val="20"/>
              </w:rPr>
              <w:t>39</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A12929">
              <w:rPr>
                <w:rFonts w:ascii="Times New Roman" w:hAnsi="Times New Roman" w:cs="Times New Roman"/>
                <w:sz w:val="20"/>
                <w:szCs w:val="20"/>
              </w:rPr>
              <w:t>год  - 4807,321</w:t>
            </w:r>
            <w:r w:rsidR="00BF36CD">
              <w:rPr>
                <w:rFonts w:ascii="Times New Roman" w:hAnsi="Times New Roman" w:cs="Times New Roman"/>
                <w:sz w:val="20"/>
                <w:szCs w:val="20"/>
              </w:rPr>
              <w:t>15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FF01D5">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F5528E">
              <w:rPr>
                <w:rFonts w:ascii="Times New Roman" w:hAnsi="Times New Roman" w:cs="Times New Roman"/>
                <w:sz w:val="20"/>
                <w:szCs w:val="20"/>
              </w:rPr>
              <w:t>год  - 3436,471</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FF01D5"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3288,751</w:t>
            </w:r>
            <w:r>
              <w:t xml:space="preserve"> </w:t>
            </w:r>
            <w:r w:rsidRPr="00FF01D5">
              <w:rPr>
                <w:rFonts w:ascii="Times New Roman" w:hAnsi="Times New Roman" w:cs="Times New Roman"/>
                <w:sz w:val="20"/>
                <w:szCs w:val="20"/>
              </w:rPr>
              <w:t xml:space="preserve">тыс. рублей;       </w:t>
            </w:r>
            <w:r>
              <w:rPr>
                <w:rFonts w:ascii="Times New Roman" w:hAnsi="Times New Roman" w:cs="Times New Roman"/>
                <w:sz w:val="20"/>
                <w:szCs w:val="20"/>
              </w:rPr>
              <w:t xml:space="preserve">    2026</w:t>
            </w:r>
            <w:r w:rsidR="003F7EA6">
              <w:rPr>
                <w:rFonts w:ascii="Times New Roman" w:hAnsi="Times New Roman" w:cs="Times New Roman"/>
                <w:sz w:val="20"/>
                <w:szCs w:val="20"/>
              </w:rPr>
              <w:t xml:space="preserve"> год – 3288,751 тыс. рублей</w:t>
            </w:r>
            <w:r w:rsidRPr="00FF01D5">
              <w:rPr>
                <w:rFonts w:ascii="Times New Roman" w:hAnsi="Times New Roman" w:cs="Times New Roman"/>
                <w:sz w:val="20"/>
                <w:szCs w:val="20"/>
              </w:rPr>
              <w:t xml:space="preserve">       </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E92ABA">
              <w:rPr>
                <w:rFonts w:ascii="Times New Roman" w:hAnsi="Times New Roman" w:cs="Times New Roman"/>
                <w:sz w:val="20"/>
                <w:szCs w:val="20"/>
              </w:rPr>
              <w:t>34547</w:t>
            </w:r>
            <w:r w:rsidR="003F7EA6">
              <w:rPr>
                <w:rFonts w:ascii="Times New Roman" w:hAnsi="Times New Roman" w:cs="Times New Roman"/>
                <w:sz w:val="20"/>
                <w:szCs w:val="20"/>
              </w:rPr>
              <w:t>,53924</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027D68">
              <w:rPr>
                <w:rFonts w:ascii="Times New Roman" w:hAnsi="Times New Roman" w:cs="Times New Roman"/>
                <w:sz w:val="20"/>
                <w:szCs w:val="20"/>
              </w:rPr>
              <w:t>4724,521</w:t>
            </w:r>
            <w:r w:rsidR="001F23F9">
              <w:rPr>
                <w:rFonts w:ascii="Times New Roman" w:hAnsi="Times New Roman" w:cs="Times New Roman"/>
                <w:sz w:val="20"/>
                <w:szCs w:val="20"/>
              </w:rPr>
              <w:t>27</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E92ABA">
              <w:rPr>
                <w:rFonts w:ascii="Times New Roman" w:hAnsi="Times New Roman" w:cs="Times New Roman"/>
                <w:sz w:val="20"/>
                <w:szCs w:val="20"/>
              </w:rPr>
              <w:t>3345</w:t>
            </w:r>
            <w:r w:rsidR="003F7EA6">
              <w:rPr>
                <w:rFonts w:ascii="Times New Roman" w:hAnsi="Times New Roman" w:cs="Times New Roman"/>
                <w:sz w:val="20"/>
                <w:szCs w:val="20"/>
              </w:rPr>
              <w:t xml:space="preserve">,751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2025 год-  </w:t>
            </w:r>
            <w:r w:rsidR="003F7EA6" w:rsidRPr="003F7EA6">
              <w:rPr>
                <w:rFonts w:ascii="Times New Roman" w:hAnsi="Times New Roman" w:cs="Times New Roman"/>
                <w:sz w:val="20"/>
                <w:szCs w:val="20"/>
              </w:rPr>
              <w:t>3288,751</w:t>
            </w:r>
            <w:r w:rsidR="003F7EA6">
              <w:rPr>
                <w:rFonts w:ascii="Times New Roman" w:hAnsi="Times New Roman" w:cs="Times New Roman"/>
                <w:sz w:val="20"/>
                <w:szCs w:val="20"/>
              </w:rPr>
              <w:t xml:space="preserve"> </w:t>
            </w:r>
            <w:r w:rsidR="003F7EA6" w:rsidRPr="003F7EA6">
              <w:rPr>
                <w:rFonts w:ascii="Times New Roman" w:hAnsi="Times New Roman" w:cs="Times New Roman"/>
                <w:sz w:val="20"/>
                <w:szCs w:val="20"/>
              </w:rPr>
              <w:t xml:space="preserve">тыс. рублей;       </w:t>
            </w:r>
            <w:r w:rsidR="003F7EA6">
              <w:rPr>
                <w:rFonts w:ascii="Times New Roman" w:hAnsi="Times New Roman" w:cs="Times New Roman"/>
                <w:sz w:val="20"/>
                <w:szCs w:val="20"/>
              </w:rPr>
              <w:t>2026 год-  3288,751 тыс. рублей</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620CD2">
              <w:rPr>
                <w:rFonts w:ascii="Times New Roman" w:hAnsi="Times New Roman"/>
                <w:sz w:val="20"/>
                <w:szCs w:val="20"/>
              </w:rPr>
              <w:t>447,825</w:t>
            </w:r>
            <w:r w:rsidR="00BF36CD">
              <w:rPr>
                <w:rFonts w:ascii="Times New Roman" w:hAnsi="Times New Roman"/>
                <w:sz w:val="20"/>
                <w:szCs w:val="20"/>
              </w:rPr>
              <w:t>15</w:t>
            </w:r>
            <w:r w:rsidR="00F3754C" w:rsidRPr="00F3754C">
              <w:rPr>
                <w:rFonts w:ascii="Times New Roman" w:hAnsi="Times New Roman"/>
                <w:sz w:val="20"/>
                <w:szCs w:val="20"/>
              </w:rPr>
              <w:t xml:space="preserve">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F36CD">
              <w:rPr>
                <w:rFonts w:ascii="Times New Roman" w:hAnsi="Times New Roman" w:cs="Times New Roman"/>
                <w:sz w:val="20"/>
                <w:szCs w:val="20"/>
              </w:rPr>
              <w:t>2023 год-   82,79988</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620CD2">
              <w:rPr>
                <w:rFonts w:ascii="Times New Roman" w:hAnsi="Times New Roman" w:cs="Times New Roman"/>
                <w:sz w:val="20"/>
                <w:szCs w:val="20"/>
              </w:rPr>
              <w:t xml:space="preserve">90,720 </w:t>
            </w:r>
            <w:r w:rsidR="00214EED" w:rsidRPr="00B65177">
              <w:rPr>
                <w:rFonts w:ascii="Times New Roman" w:hAnsi="Times New Roman" w:cs="Times New Roman"/>
                <w:sz w:val="20"/>
                <w:szCs w:val="20"/>
              </w:rPr>
              <w:t>тыс. рублей;</w:t>
            </w:r>
            <w:r w:rsidR="00620CD2">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00D6685E">
        <w:rPr>
          <w:rFonts w:ascii="Times New Roman" w:hAnsi="Times New Roman" w:cs="Times New Roman"/>
        </w:rPr>
        <w:t xml:space="preserve"> - 2024</w:t>
      </w:r>
      <w:r w:rsidRPr="00B65177">
        <w:rPr>
          <w:rFonts w:ascii="Times New Roman" w:hAnsi="Times New Roman" w:cs="Times New Roman"/>
        </w:rPr>
        <w:t xml:space="preserve"> годы на водных объектах Советского района Курской области погибло </w:t>
      </w:r>
      <w:r w:rsidR="00D6685E">
        <w:rPr>
          <w:rFonts w:ascii="Times New Roman" w:hAnsi="Times New Roman" w:cs="Times New Roman"/>
        </w:rPr>
        <w:t>5</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639" w:type="dxa"/>
        <w:tblInd w:w="70" w:type="dxa"/>
        <w:tblLayout w:type="fixed"/>
        <w:tblCellMar>
          <w:left w:w="70" w:type="dxa"/>
          <w:right w:w="70" w:type="dxa"/>
        </w:tblCellMar>
        <w:tblLook w:val="00A0"/>
      </w:tblPr>
      <w:tblGrid>
        <w:gridCol w:w="1484"/>
        <w:gridCol w:w="926"/>
        <w:gridCol w:w="851"/>
        <w:gridCol w:w="850"/>
        <w:gridCol w:w="851"/>
        <w:gridCol w:w="855"/>
        <w:gridCol w:w="840"/>
        <w:gridCol w:w="705"/>
        <w:gridCol w:w="718"/>
        <w:gridCol w:w="709"/>
        <w:gridCol w:w="850"/>
      </w:tblGrid>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2015</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6</w:t>
            </w:r>
            <w:r w:rsidRPr="00B65177">
              <w:rPr>
                <w:rFonts w:ascii="Times New Roman" w:hAnsi="Times New Roman" w:cs="Times New Roman"/>
              </w:rP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7</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2018</w:t>
            </w:r>
            <w:r w:rsidRPr="00B65177">
              <w:rPr>
                <w:rFonts w:ascii="Times New Roman" w:hAnsi="Times New Roman" w:cs="Times New Roman"/>
              </w:rPr>
              <w:t xml:space="preserve"> </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Pr>
                <w:rFonts w:ascii="Times New Roman" w:hAnsi="Times New Roman" w:cs="Times New Roman"/>
                <w:sz w:val="20"/>
                <w:szCs w:val="20"/>
              </w:rPr>
              <w:t>9</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2021</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2022</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2023</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2024</w:t>
            </w:r>
          </w:p>
        </w:tc>
      </w:tr>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1</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0</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1</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D6685E">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1</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w:t>
      </w:r>
      <w:proofErr w:type="gramStart"/>
      <w:r w:rsidRPr="00B65177">
        <w:rPr>
          <w:rFonts w:ascii="Times New Roman" w:hAnsi="Times New Roman" w:cs="Times New Roman"/>
        </w:rPr>
        <w:t>Требуется разрабо</w:t>
      </w:r>
      <w:r w:rsidR="00D6685E">
        <w:rPr>
          <w:rFonts w:ascii="Times New Roman" w:hAnsi="Times New Roman" w:cs="Times New Roman"/>
        </w:rPr>
        <w:t>тка и принятие программы до 2025</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roofErr w:type="gramEnd"/>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w:t>
      </w:r>
      <w:proofErr w:type="spellStart"/>
      <w:proofErr w:type="gramStart"/>
      <w:r w:rsidRPr="00B65177">
        <w:rPr>
          <w:rFonts w:ascii="Times New Roman" w:hAnsi="Times New Roman"/>
          <w:b/>
          <w:sz w:val="20"/>
          <w:szCs w:val="20"/>
        </w:rPr>
        <w:t>муниц</w:t>
      </w:r>
      <w:proofErr w:type="spellEnd"/>
      <w:r w:rsidR="00877F30">
        <w:rPr>
          <w:rFonts w:ascii="Times New Roman" w:hAnsi="Times New Roman"/>
          <w:b/>
          <w:sz w:val="20"/>
          <w:szCs w:val="20"/>
        </w:rPr>
        <w:t xml:space="preserve">   </w:t>
      </w:r>
      <w:proofErr w:type="spellStart"/>
      <w:r w:rsidRPr="00B65177">
        <w:rPr>
          <w:rFonts w:ascii="Times New Roman" w:hAnsi="Times New Roman"/>
          <w:b/>
          <w:sz w:val="20"/>
          <w:szCs w:val="20"/>
        </w:rPr>
        <w:t>ипальной</w:t>
      </w:r>
      <w:proofErr w:type="spellEnd"/>
      <w:proofErr w:type="gramEnd"/>
      <w:r w:rsidRPr="00B65177">
        <w:rPr>
          <w:rFonts w:ascii="Times New Roman" w:hAnsi="Times New Roman"/>
          <w:b/>
          <w:sz w:val="20"/>
          <w:szCs w:val="20"/>
        </w:rPr>
        <w:t xml:space="preserve">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807DE2">
        <w:rPr>
          <w:rFonts w:ascii="Times New Roman" w:hAnsi="Times New Roman" w:cs="Times New Roman"/>
          <w:sz w:val="20"/>
          <w:szCs w:val="20"/>
        </w:rPr>
        <w:t>Программа реализуется</w:t>
      </w:r>
      <w:r w:rsidR="00D25E9C">
        <w:rPr>
          <w:rFonts w:ascii="Times New Roman" w:hAnsi="Times New Roman" w:cs="Times New Roman"/>
          <w:sz w:val="20"/>
          <w:szCs w:val="20"/>
        </w:rPr>
        <w:t xml:space="preserve">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7E239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lastRenderedPageBreak/>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lastRenderedPageBreak/>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lastRenderedPageBreak/>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lastRenderedPageBreak/>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4E715C" w:rsidRDefault="004E715C"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1B2DFB" w:rsidRPr="00B65177" w:rsidRDefault="001B2DFB"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C744F5"/>
    <w:rsid w:val="000037EA"/>
    <w:rsid w:val="000123C9"/>
    <w:rsid w:val="00024A02"/>
    <w:rsid w:val="00027D68"/>
    <w:rsid w:val="000309BD"/>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13B89"/>
    <w:rsid w:val="00114E3A"/>
    <w:rsid w:val="00135CD9"/>
    <w:rsid w:val="00143684"/>
    <w:rsid w:val="00154979"/>
    <w:rsid w:val="00162F05"/>
    <w:rsid w:val="00176312"/>
    <w:rsid w:val="00184745"/>
    <w:rsid w:val="001851F6"/>
    <w:rsid w:val="00194574"/>
    <w:rsid w:val="00194C4C"/>
    <w:rsid w:val="001A0318"/>
    <w:rsid w:val="001B2DFB"/>
    <w:rsid w:val="001C42AD"/>
    <w:rsid w:val="001D1F0C"/>
    <w:rsid w:val="001D7530"/>
    <w:rsid w:val="001E44D2"/>
    <w:rsid w:val="001E7554"/>
    <w:rsid w:val="001F23F9"/>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3F7EA6"/>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15C"/>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0CD2"/>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E2393"/>
    <w:rsid w:val="007F0818"/>
    <w:rsid w:val="007F4B41"/>
    <w:rsid w:val="00801E26"/>
    <w:rsid w:val="00807DE2"/>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86345"/>
    <w:rsid w:val="00990617"/>
    <w:rsid w:val="009A1058"/>
    <w:rsid w:val="009C4D9E"/>
    <w:rsid w:val="009C6E8A"/>
    <w:rsid w:val="009F04E1"/>
    <w:rsid w:val="009F21DD"/>
    <w:rsid w:val="00A02C79"/>
    <w:rsid w:val="00A06128"/>
    <w:rsid w:val="00A1039B"/>
    <w:rsid w:val="00A12929"/>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408B4"/>
    <w:rsid w:val="00B50626"/>
    <w:rsid w:val="00B54E5E"/>
    <w:rsid w:val="00B55201"/>
    <w:rsid w:val="00B5643F"/>
    <w:rsid w:val="00B607F8"/>
    <w:rsid w:val="00B64565"/>
    <w:rsid w:val="00B65177"/>
    <w:rsid w:val="00B6741D"/>
    <w:rsid w:val="00B8008C"/>
    <w:rsid w:val="00B819EB"/>
    <w:rsid w:val="00B868C8"/>
    <w:rsid w:val="00B93413"/>
    <w:rsid w:val="00B946CF"/>
    <w:rsid w:val="00B9644E"/>
    <w:rsid w:val="00B96D34"/>
    <w:rsid w:val="00BA003F"/>
    <w:rsid w:val="00BA2843"/>
    <w:rsid w:val="00BB7228"/>
    <w:rsid w:val="00BC1A48"/>
    <w:rsid w:val="00BC5DFF"/>
    <w:rsid w:val="00BD41B9"/>
    <w:rsid w:val="00BF36CD"/>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D508B"/>
    <w:rsid w:val="00CE4CFF"/>
    <w:rsid w:val="00CE60EF"/>
    <w:rsid w:val="00CF518A"/>
    <w:rsid w:val="00CF6BA4"/>
    <w:rsid w:val="00D033D7"/>
    <w:rsid w:val="00D158F1"/>
    <w:rsid w:val="00D17153"/>
    <w:rsid w:val="00D25E9C"/>
    <w:rsid w:val="00D41A4D"/>
    <w:rsid w:val="00D50EDB"/>
    <w:rsid w:val="00D518F3"/>
    <w:rsid w:val="00D56D72"/>
    <w:rsid w:val="00D6685E"/>
    <w:rsid w:val="00D7516C"/>
    <w:rsid w:val="00D85584"/>
    <w:rsid w:val="00D870DF"/>
    <w:rsid w:val="00DA4867"/>
    <w:rsid w:val="00DB4959"/>
    <w:rsid w:val="00DC01C4"/>
    <w:rsid w:val="00DC1F44"/>
    <w:rsid w:val="00DE36FA"/>
    <w:rsid w:val="00DE5F80"/>
    <w:rsid w:val="00DE72BD"/>
    <w:rsid w:val="00E239D6"/>
    <w:rsid w:val="00E33F0D"/>
    <w:rsid w:val="00E34180"/>
    <w:rsid w:val="00E34A56"/>
    <w:rsid w:val="00E42EAB"/>
    <w:rsid w:val="00E446AB"/>
    <w:rsid w:val="00E7217F"/>
    <w:rsid w:val="00E8249B"/>
    <w:rsid w:val="00E84FE7"/>
    <w:rsid w:val="00E92ABA"/>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528E"/>
    <w:rsid w:val="00F56ABA"/>
    <w:rsid w:val="00F640F6"/>
    <w:rsid w:val="00F67800"/>
    <w:rsid w:val="00F7579D"/>
    <w:rsid w:val="00F76186"/>
    <w:rsid w:val="00F77196"/>
    <w:rsid w:val="00F9681C"/>
    <w:rsid w:val="00FA102A"/>
    <w:rsid w:val="00FB00F7"/>
    <w:rsid w:val="00FC3EA4"/>
    <w:rsid w:val="00FD3032"/>
    <w:rsid w:val="00FD3DD4"/>
    <w:rsid w:val="00FE50D7"/>
    <w:rsid w:val="00FE7F7B"/>
    <w:rsid w:val="00FF0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CFAB6-83E8-4C20-9C6E-FCFB91A4D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9</Pages>
  <Words>5440</Words>
  <Characters>31011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128</cp:revision>
  <cp:lastPrinted>2024-03-22T13:10:00Z</cp:lastPrinted>
  <dcterms:created xsi:type="dcterms:W3CDTF">2017-11-15T12:15:00Z</dcterms:created>
  <dcterms:modified xsi:type="dcterms:W3CDTF">2024-03-22T13:14:00Z</dcterms:modified>
</cp:coreProperties>
</file>